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81F64" w14:textId="555D3F4B" w:rsidR="00A6284C" w:rsidRPr="00BA1F07" w:rsidRDefault="00A6284C" w:rsidP="00A6284C">
      <w:pPr>
        <w:jc w:val="right"/>
        <w:rPr>
          <w:rFonts w:cs="Arial"/>
          <w:b/>
          <w:color w:val="7030A0"/>
          <w:sz w:val="32"/>
        </w:rPr>
      </w:pPr>
    </w:p>
    <w:p w14:paraId="6A1910C6" w14:textId="77777777" w:rsidR="00A6284C" w:rsidRPr="00BA1F07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0A64BAE3" w14:textId="5BC618E7" w:rsidR="00A6284C" w:rsidRDefault="00160D7F" w:rsidP="00A6284C">
      <w:pPr>
        <w:ind w:right="113"/>
        <w:jc w:val="right"/>
        <w:rPr>
          <w:rFonts w:cs="Arial"/>
          <w:b/>
          <w:color w:val="7030A0"/>
          <w:sz w:val="32"/>
        </w:rPr>
      </w:pPr>
      <w:r>
        <w:rPr>
          <w:noProof/>
          <w:lang w:eastAsia="cs-CZ"/>
        </w:rPr>
        <w:drawing>
          <wp:inline distT="0" distB="0" distL="0" distR="0" wp14:anchorId="59B64B8E" wp14:editId="417D672B">
            <wp:extent cx="4506037" cy="1066800"/>
            <wp:effectExtent l="0" t="0" r="889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utb40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7663" cy="107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623ABB" w14:textId="77777777" w:rsidR="00844938" w:rsidRDefault="00844938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5E90904A" w14:textId="77777777" w:rsidR="00844938" w:rsidRDefault="00844938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6AFC5C25" w14:textId="77777777" w:rsidR="00A6284C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6E67DB8B" w14:textId="77777777" w:rsidR="00A6284C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3B40B180" w14:textId="77777777" w:rsidR="00A6284C" w:rsidRPr="00BA1F07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3BE65DA8" w14:textId="77777777" w:rsidR="00A6284C" w:rsidRPr="00BA1F07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0FA3CDED" w14:textId="66A1E8FC" w:rsidR="00844938" w:rsidRPr="00691411" w:rsidRDefault="00691411" w:rsidP="00A6284C">
      <w:pPr>
        <w:ind w:right="454"/>
        <w:jc w:val="right"/>
        <w:rPr>
          <w:rFonts w:cs="Arial"/>
          <w:b/>
          <w:color w:val="C45911" w:themeColor="accent2" w:themeShade="BF"/>
          <w:sz w:val="56"/>
          <w:szCs w:val="56"/>
        </w:rPr>
      </w:pPr>
      <w:r w:rsidRPr="00691411">
        <w:rPr>
          <w:rFonts w:cs="Arial"/>
          <w:b/>
          <w:color w:val="C45911" w:themeColor="accent2" w:themeShade="BF"/>
          <w:sz w:val="56"/>
          <w:szCs w:val="56"/>
        </w:rPr>
        <w:t>Sebeh</w:t>
      </w:r>
      <w:r w:rsidR="00844938" w:rsidRPr="00691411">
        <w:rPr>
          <w:rFonts w:cs="Arial"/>
          <w:b/>
          <w:color w:val="C45911" w:themeColor="accent2" w:themeShade="BF"/>
          <w:sz w:val="56"/>
          <w:szCs w:val="56"/>
        </w:rPr>
        <w:t xml:space="preserve">odnotící zpráva </w:t>
      </w:r>
    </w:p>
    <w:p w14:paraId="1A1FB30C" w14:textId="305886B9" w:rsidR="00A6284C" w:rsidRPr="00691411" w:rsidRDefault="00844938" w:rsidP="00A6284C">
      <w:pPr>
        <w:ind w:right="454"/>
        <w:jc w:val="right"/>
        <w:rPr>
          <w:rFonts w:cs="Arial"/>
          <w:b/>
          <w:color w:val="C45911" w:themeColor="accent2" w:themeShade="BF"/>
          <w:sz w:val="56"/>
          <w:szCs w:val="56"/>
        </w:rPr>
      </w:pPr>
      <w:r w:rsidRPr="00691411">
        <w:rPr>
          <w:rFonts w:cs="Arial"/>
          <w:b/>
          <w:color w:val="C45911" w:themeColor="accent2" w:themeShade="BF"/>
          <w:sz w:val="56"/>
          <w:szCs w:val="56"/>
        </w:rPr>
        <w:t>studijního programu</w:t>
      </w:r>
    </w:p>
    <w:p w14:paraId="4D24A4CE" w14:textId="77777777" w:rsidR="00A6284C" w:rsidRDefault="00A6284C" w:rsidP="00A6284C">
      <w:pPr>
        <w:ind w:right="454"/>
        <w:jc w:val="right"/>
        <w:rPr>
          <w:rFonts w:cs="Arial"/>
          <w:b/>
          <w:color w:val="7030A0"/>
          <w:sz w:val="40"/>
        </w:rPr>
      </w:pPr>
    </w:p>
    <w:p w14:paraId="1E847BA0" w14:textId="35DAF7B6" w:rsidR="000F4FB7" w:rsidRDefault="00331454" w:rsidP="004F1E4D">
      <w:pPr>
        <w:ind w:right="454"/>
        <w:jc w:val="right"/>
        <w:rPr>
          <w:rFonts w:cs="Arial"/>
          <w:b/>
          <w:color w:val="000000" w:themeColor="text1"/>
          <w:sz w:val="36"/>
          <w:szCs w:val="36"/>
        </w:rPr>
      </w:pPr>
      <w:r w:rsidRPr="00970F25">
        <w:rPr>
          <w:rFonts w:cs="Arial"/>
          <w:b/>
          <w:color w:val="000000" w:themeColor="text1"/>
          <w:sz w:val="36"/>
          <w:szCs w:val="36"/>
        </w:rPr>
        <w:t>Bakalářský</w:t>
      </w:r>
      <w:r w:rsidR="004F1E4D">
        <w:rPr>
          <w:rFonts w:cs="Arial"/>
          <w:b/>
          <w:color w:val="000000" w:themeColor="text1"/>
          <w:sz w:val="36"/>
          <w:szCs w:val="36"/>
        </w:rPr>
        <w:t xml:space="preserve"> </w:t>
      </w:r>
      <w:r w:rsidRPr="00970F25">
        <w:rPr>
          <w:rFonts w:cs="Arial"/>
          <w:b/>
          <w:color w:val="000000" w:themeColor="text1"/>
          <w:sz w:val="36"/>
          <w:szCs w:val="36"/>
        </w:rPr>
        <w:t>studijní program</w:t>
      </w:r>
    </w:p>
    <w:p w14:paraId="74BDDD29" w14:textId="77777777" w:rsidR="00331454" w:rsidRPr="00DC01FF" w:rsidRDefault="00331454" w:rsidP="00A6284C">
      <w:pPr>
        <w:ind w:right="454"/>
        <w:jc w:val="right"/>
        <w:rPr>
          <w:rFonts w:cs="Arial"/>
          <w:b/>
          <w:color w:val="7030A0"/>
          <w:sz w:val="40"/>
        </w:rPr>
      </w:pPr>
    </w:p>
    <w:p w14:paraId="32DA5EE3" w14:textId="1707EC9F" w:rsidR="00A6284C" w:rsidRPr="00691411" w:rsidRDefault="00844938" w:rsidP="00A6284C">
      <w:pPr>
        <w:ind w:right="454"/>
        <w:jc w:val="right"/>
        <w:rPr>
          <w:rFonts w:cs="Arial"/>
          <w:color w:val="C45911" w:themeColor="accent2" w:themeShade="BF"/>
          <w:sz w:val="38"/>
          <w:szCs w:val="38"/>
        </w:rPr>
      </w:pPr>
      <w:r w:rsidRPr="00691411">
        <w:rPr>
          <w:rFonts w:cs="Arial"/>
          <w:color w:val="C45911" w:themeColor="accent2" w:themeShade="BF"/>
          <w:sz w:val="38"/>
          <w:szCs w:val="38"/>
        </w:rPr>
        <w:t>Univerzita</w:t>
      </w:r>
      <w:r w:rsidR="00A6284C" w:rsidRPr="00691411">
        <w:rPr>
          <w:rFonts w:cs="Arial"/>
          <w:color w:val="C45911" w:themeColor="accent2" w:themeShade="BF"/>
          <w:sz w:val="38"/>
          <w:szCs w:val="38"/>
        </w:rPr>
        <w:t xml:space="preserve"> </w:t>
      </w:r>
      <w:r w:rsidR="00691411" w:rsidRPr="00691411">
        <w:rPr>
          <w:rFonts w:cs="Arial"/>
          <w:color w:val="C45911" w:themeColor="accent2" w:themeShade="BF"/>
          <w:sz w:val="38"/>
          <w:szCs w:val="38"/>
        </w:rPr>
        <w:t>Tomáše Bati ve Zlíně</w:t>
      </w:r>
      <w:r w:rsidR="00A6284C" w:rsidRPr="00691411">
        <w:rPr>
          <w:rFonts w:cs="Arial"/>
          <w:color w:val="C45911" w:themeColor="accent2" w:themeShade="BF"/>
          <w:sz w:val="38"/>
          <w:szCs w:val="38"/>
        </w:rPr>
        <w:t xml:space="preserve"> </w:t>
      </w:r>
    </w:p>
    <w:p w14:paraId="7E770101" w14:textId="08097008" w:rsidR="00A6284C" w:rsidRPr="00DC01FF" w:rsidRDefault="00A6284C" w:rsidP="00A6284C">
      <w:pPr>
        <w:ind w:right="454"/>
        <w:jc w:val="right"/>
        <w:rPr>
          <w:rFonts w:cs="Arial"/>
          <w:color w:val="7030A0"/>
          <w:sz w:val="38"/>
          <w:szCs w:val="38"/>
        </w:rPr>
      </w:pPr>
    </w:p>
    <w:p w14:paraId="366E7BB3" w14:textId="77777777" w:rsidR="00A6284C" w:rsidRPr="00DC01FF" w:rsidRDefault="00A6284C" w:rsidP="00844938">
      <w:pPr>
        <w:ind w:right="454"/>
        <w:rPr>
          <w:rFonts w:cs="Arial"/>
          <w:b/>
          <w:color w:val="7030A0"/>
          <w:sz w:val="40"/>
          <w:szCs w:val="40"/>
        </w:rPr>
      </w:pPr>
    </w:p>
    <w:p w14:paraId="478C5114" w14:textId="77777777" w:rsidR="00A6284C" w:rsidRPr="00DC01FF" w:rsidRDefault="00A6284C" w:rsidP="00A6284C">
      <w:pPr>
        <w:ind w:right="454"/>
        <w:jc w:val="right"/>
        <w:rPr>
          <w:rFonts w:cs="Arial"/>
          <w:b/>
          <w:color w:val="7030A0"/>
          <w:sz w:val="52"/>
        </w:rPr>
      </w:pPr>
    </w:p>
    <w:p w14:paraId="6D0F37F1" w14:textId="6A7EDF7D" w:rsidR="00A6284C" w:rsidRPr="00691411" w:rsidRDefault="00805795" w:rsidP="00A6284C">
      <w:pPr>
        <w:ind w:right="454"/>
        <w:jc w:val="right"/>
        <w:rPr>
          <w:rFonts w:cs="Arial"/>
          <w:color w:val="C45911" w:themeColor="accent2" w:themeShade="BF"/>
          <w:sz w:val="44"/>
          <w:szCs w:val="44"/>
        </w:rPr>
      </w:pPr>
      <w:r>
        <w:rPr>
          <w:rFonts w:cs="Arial"/>
          <w:color w:val="C45911" w:themeColor="accent2" w:themeShade="BF"/>
          <w:sz w:val="44"/>
          <w:szCs w:val="44"/>
        </w:rPr>
        <w:t>06</w:t>
      </w:r>
      <w:r w:rsidR="00970F25" w:rsidRPr="00691411">
        <w:rPr>
          <w:rFonts w:cs="Arial"/>
          <w:color w:val="C45911" w:themeColor="accent2" w:themeShade="BF"/>
          <w:sz w:val="44"/>
          <w:szCs w:val="44"/>
        </w:rPr>
        <w:t>/</w:t>
      </w:r>
      <w:r>
        <w:rPr>
          <w:rFonts w:cs="Arial"/>
          <w:color w:val="C45911" w:themeColor="accent2" w:themeShade="BF"/>
          <w:sz w:val="44"/>
          <w:szCs w:val="44"/>
        </w:rPr>
        <w:t>2024</w:t>
      </w:r>
    </w:p>
    <w:p w14:paraId="7BE203EB" w14:textId="77777777" w:rsidR="00A6284C" w:rsidRPr="00BA1F07" w:rsidRDefault="00A6284C" w:rsidP="00A6284C">
      <w:pPr>
        <w:pStyle w:val="Bezmezer"/>
        <w:ind w:right="113"/>
        <w:rPr>
          <w:rFonts w:ascii="Arial" w:hAnsi="Arial" w:cs="Arial"/>
          <w:color w:val="800080"/>
        </w:rPr>
      </w:pPr>
    </w:p>
    <w:p w14:paraId="28BD59D0" w14:textId="77777777" w:rsidR="00A6284C" w:rsidRPr="00BA1F07" w:rsidRDefault="00A6284C" w:rsidP="00A6284C">
      <w:pPr>
        <w:pStyle w:val="Bezmezer"/>
        <w:rPr>
          <w:rFonts w:ascii="Arial" w:hAnsi="Arial" w:cs="Arial"/>
          <w:b/>
          <w:color w:val="6D1F80"/>
        </w:rPr>
      </w:pPr>
    </w:p>
    <w:p w14:paraId="032B5BC1" w14:textId="77777777" w:rsidR="00A6284C" w:rsidRPr="00BA1F07" w:rsidRDefault="00A6284C" w:rsidP="00A6284C">
      <w:pPr>
        <w:pStyle w:val="Bezmezer"/>
        <w:rPr>
          <w:rFonts w:ascii="Arial" w:hAnsi="Arial" w:cs="Arial"/>
          <w:b/>
          <w:color w:val="6D1F80"/>
        </w:rPr>
      </w:pPr>
    </w:p>
    <w:p w14:paraId="316BB0C3" w14:textId="77777777" w:rsidR="00A6284C" w:rsidRPr="00BA1F07" w:rsidRDefault="00A6284C" w:rsidP="00A6284C">
      <w:pPr>
        <w:pStyle w:val="Bezmezer"/>
        <w:rPr>
          <w:rFonts w:ascii="Arial" w:hAnsi="Arial" w:cs="Arial"/>
          <w:b/>
          <w:color w:val="6D1F80"/>
        </w:rPr>
      </w:pPr>
    </w:p>
    <w:p w14:paraId="0B6904C8" w14:textId="482523BE" w:rsidR="00A6284C" w:rsidRDefault="00A6284C" w:rsidP="00844938">
      <w:pPr>
        <w:ind w:right="454"/>
        <w:rPr>
          <w:rFonts w:cs="Arial"/>
          <w:color w:val="7030A0"/>
          <w:sz w:val="38"/>
          <w:szCs w:val="38"/>
        </w:rPr>
      </w:pPr>
    </w:p>
    <w:p w14:paraId="3029E7FD" w14:textId="77777777" w:rsidR="006528C6" w:rsidRDefault="006528C6" w:rsidP="00844938">
      <w:pPr>
        <w:ind w:right="454"/>
        <w:rPr>
          <w:rFonts w:cs="Arial"/>
          <w:color w:val="7030A0"/>
          <w:sz w:val="32"/>
          <w:szCs w:val="32"/>
        </w:rPr>
      </w:pPr>
    </w:p>
    <w:p w14:paraId="4B3A2ABA" w14:textId="3974AD28" w:rsidR="00A6284C" w:rsidRPr="00691411" w:rsidRDefault="00844938" w:rsidP="00844938">
      <w:pPr>
        <w:ind w:right="454"/>
        <w:rPr>
          <w:rFonts w:ascii="Arial Narrow" w:hAnsi="Arial Narrow" w:cs="Arial"/>
          <w:color w:val="C45911" w:themeColor="accent2" w:themeShade="BF"/>
          <w:sz w:val="32"/>
          <w:szCs w:val="32"/>
        </w:rPr>
      </w:pPr>
      <w:r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Fakulta: </w:t>
      </w:r>
      <w:r w:rsidR="00805795">
        <w:rPr>
          <w:rFonts w:ascii="Arial Narrow" w:hAnsi="Arial Narrow" w:cs="Arial"/>
          <w:color w:val="C45911" w:themeColor="accent2" w:themeShade="BF"/>
          <w:sz w:val="32"/>
          <w:szCs w:val="32"/>
        </w:rPr>
        <w:t>Fakulta humanitních studií</w:t>
      </w:r>
    </w:p>
    <w:p w14:paraId="1185FB1D" w14:textId="646B39DA" w:rsidR="00EB640D" w:rsidRPr="00691411" w:rsidRDefault="00844938" w:rsidP="00844938">
      <w:pPr>
        <w:ind w:right="454"/>
        <w:rPr>
          <w:rFonts w:ascii="Arial Narrow" w:hAnsi="Arial Narrow" w:cs="Arial"/>
          <w:color w:val="C45911" w:themeColor="accent2" w:themeShade="BF"/>
          <w:sz w:val="32"/>
          <w:szCs w:val="32"/>
        </w:rPr>
      </w:pPr>
      <w:r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Studijní program: </w:t>
      </w:r>
      <w:r w:rsidR="00805795">
        <w:rPr>
          <w:rFonts w:ascii="Arial Narrow" w:hAnsi="Arial Narrow" w:cs="Arial"/>
          <w:color w:val="C45911" w:themeColor="accent2" w:themeShade="BF"/>
          <w:sz w:val="32"/>
          <w:szCs w:val="32"/>
        </w:rPr>
        <w:t>Sociální pedagogika</w:t>
      </w:r>
    </w:p>
    <w:p w14:paraId="5BFF3D55" w14:textId="2FBBF4DB" w:rsidR="00844938" w:rsidRPr="00691411" w:rsidRDefault="00844938" w:rsidP="00844938">
      <w:pPr>
        <w:ind w:right="454"/>
        <w:rPr>
          <w:rFonts w:ascii="Arial Narrow" w:hAnsi="Arial Narrow" w:cs="Arial"/>
          <w:color w:val="C45911" w:themeColor="accent2" w:themeShade="BF"/>
          <w:sz w:val="32"/>
          <w:szCs w:val="32"/>
        </w:rPr>
      </w:pPr>
      <w:r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>Garant studijního programu</w:t>
      </w:r>
      <w:r w:rsidR="00CF4E5B"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: </w:t>
      </w:r>
      <w:r w:rsidR="00805795">
        <w:rPr>
          <w:rFonts w:ascii="Arial Narrow" w:hAnsi="Arial Narrow" w:cs="Arial"/>
          <w:color w:val="C45911" w:themeColor="accent2" w:themeShade="BF"/>
          <w:sz w:val="32"/>
          <w:szCs w:val="32"/>
        </w:rPr>
        <w:t>doc. PhDr. Lenka Haburajová Ilavská, PhD.</w:t>
      </w:r>
    </w:p>
    <w:p w14:paraId="073B9BF4" w14:textId="77777777" w:rsidR="00A43A87" w:rsidRDefault="00A43A87" w:rsidP="00A6284C">
      <w:pPr>
        <w:pStyle w:val="Bezmezer"/>
        <w:ind w:right="283"/>
        <w:rPr>
          <w:rFonts w:ascii="Arial" w:hAnsi="Arial" w:cs="Arial"/>
        </w:rPr>
        <w:sectPr w:rsidR="00A43A87" w:rsidSect="009540ED">
          <w:footerReference w:type="defaul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08EEBD6" w14:textId="24742469" w:rsidR="00A6284C" w:rsidRPr="00F75C3F" w:rsidRDefault="00F75C3F" w:rsidP="001504F5">
      <w:pPr>
        <w:ind w:right="454"/>
        <w:rPr>
          <w:rFonts w:ascii="Arial Narrow" w:hAnsi="Arial Narrow" w:cs="Arial"/>
          <w:b/>
          <w:color w:val="C45911" w:themeColor="accent2" w:themeShade="BF"/>
          <w:sz w:val="32"/>
          <w:szCs w:val="32"/>
        </w:rPr>
      </w:pPr>
      <w:r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lastRenderedPageBreak/>
        <w:t xml:space="preserve">Část </w:t>
      </w:r>
      <w:r w:rsidR="004E7679"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1</w:t>
      </w:r>
      <w:r w:rsidR="00691411"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.</w:t>
      </w:r>
      <w:r w:rsidR="004E7679"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)</w:t>
      </w:r>
      <w:r w:rsidR="001504F5"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 xml:space="preserve"> Základní údaje</w:t>
      </w:r>
      <w:r w:rsidR="00087ACC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 xml:space="preserve"> o studijním programu</w:t>
      </w:r>
    </w:p>
    <w:p w14:paraId="35FA70F2" w14:textId="77777777" w:rsidR="00A6284C" w:rsidRPr="006965DC" w:rsidRDefault="00A6284C" w:rsidP="00A6284C">
      <w:pPr>
        <w:pStyle w:val="Bezmezer"/>
        <w:ind w:right="283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05"/>
        <w:gridCol w:w="5221"/>
      </w:tblGrid>
      <w:tr w:rsidR="001504F5" w:rsidRPr="00FB55D5" w14:paraId="6A0AEA37" w14:textId="77777777" w:rsidTr="00160D7F">
        <w:trPr>
          <w:trHeight w:val="357"/>
        </w:trPr>
        <w:tc>
          <w:tcPr>
            <w:tcW w:w="3805" w:type="dxa"/>
            <w:shd w:val="clear" w:color="auto" w:fill="F7CAAC" w:themeFill="accent2" w:themeFillTint="66"/>
          </w:tcPr>
          <w:p w14:paraId="63CBC5A9" w14:textId="7521F5FF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Název studijního programu</w:t>
            </w:r>
          </w:p>
        </w:tc>
        <w:tc>
          <w:tcPr>
            <w:tcW w:w="5221" w:type="dxa"/>
            <w:shd w:val="clear" w:color="auto" w:fill="F7CAAC" w:themeFill="accent2" w:themeFillTint="66"/>
          </w:tcPr>
          <w:p w14:paraId="1B6AC4C1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1504F5" w:rsidRPr="00FB55D5" w14:paraId="3B2CF2C9" w14:textId="77777777" w:rsidTr="00691411">
        <w:trPr>
          <w:trHeight w:val="357"/>
        </w:trPr>
        <w:tc>
          <w:tcPr>
            <w:tcW w:w="3805" w:type="dxa"/>
          </w:tcPr>
          <w:p w14:paraId="3FC83279" w14:textId="060B16ED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Typ studijního programu</w:t>
            </w:r>
          </w:p>
        </w:tc>
        <w:tc>
          <w:tcPr>
            <w:tcW w:w="5221" w:type="dxa"/>
          </w:tcPr>
          <w:p w14:paraId="7E451469" w14:textId="37685C43" w:rsidR="001504F5" w:rsidRPr="00160D7F" w:rsidRDefault="0080579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bakalářský</w:t>
            </w:r>
          </w:p>
        </w:tc>
      </w:tr>
      <w:tr w:rsidR="001504F5" w:rsidRPr="00FB55D5" w14:paraId="2346E46C" w14:textId="77777777" w:rsidTr="00691411">
        <w:trPr>
          <w:trHeight w:val="357"/>
        </w:trPr>
        <w:tc>
          <w:tcPr>
            <w:tcW w:w="3805" w:type="dxa"/>
          </w:tcPr>
          <w:p w14:paraId="466ADF90" w14:textId="61AC3A8B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Profil studijního programu</w:t>
            </w:r>
          </w:p>
        </w:tc>
        <w:tc>
          <w:tcPr>
            <w:tcW w:w="5221" w:type="dxa"/>
          </w:tcPr>
          <w:p w14:paraId="0D0F694A" w14:textId="73AF25F8" w:rsidR="001504F5" w:rsidRPr="00160D7F" w:rsidRDefault="0080579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akademický</w:t>
            </w:r>
          </w:p>
        </w:tc>
      </w:tr>
      <w:tr w:rsidR="001504F5" w:rsidRPr="00FB55D5" w14:paraId="28DE0ADF" w14:textId="77777777" w:rsidTr="00691411">
        <w:trPr>
          <w:trHeight w:val="357"/>
        </w:trPr>
        <w:tc>
          <w:tcPr>
            <w:tcW w:w="3805" w:type="dxa"/>
          </w:tcPr>
          <w:p w14:paraId="71B5C0F9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Forma studia</w:t>
            </w:r>
          </w:p>
        </w:tc>
        <w:tc>
          <w:tcPr>
            <w:tcW w:w="5221" w:type="dxa"/>
          </w:tcPr>
          <w:p w14:paraId="64B90412" w14:textId="17E8EFF6" w:rsidR="001504F5" w:rsidRPr="00160D7F" w:rsidRDefault="0080579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prezenční, kombinovaná</w:t>
            </w:r>
          </w:p>
        </w:tc>
      </w:tr>
      <w:tr w:rsidR="001504F5" w:rsidRPr="00FB55D5" w14:paraId="3C7DE1E2" w14:textId="77777777" w:rsidTr="00691411">
        <w:trPr>
          <w:trHeight w:val="357"/>
        </w:trPr>
        <w:tc>
          <w:tcPr>
            <w:tcW w:w="3805" w:type="dxa"/>
          </w:tcPr>
          <w:p w14:paraId="6953C8CD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Standardní doba studia</w:t>
            </w:r>
          </w:p>
        </w:tc>
        <w:tc>
          <w:tcPr>
            <w:tcW w:w="5221" w:type="dxa"/>
          </w:tcPr>
          <w:p w14:paraId="4E4B5EBA" w14:textId="7F078825" w:rsidR="001504F5" w:rsidRPr="00160D7F" w:rsidRDefault="0080579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roky</w:t>
            </w:r>
          </w:p>
        </w:tc>
      </w:tr>
      <w:tr w:rsidR="001504F5" w:rsidRPr="00FB55D5" w14:paraId="578DF757" w14:textId="77777777" w:rsidTr="00691411">
        <w:trPr>
          <w:trHeight w:val="357"/>
        </w:trPr>
        <w:tc>
          <w:tcPr>
            <w:tcW w:w="3805" w:type="dxa"/>
          </w:tcPr>
          <w:p w14:paraId="444F6C8C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 xml:space="preserve">Jazyk </w:t>
            </w:r>
            <w:r w:rsidR="00256C85" w:rsidRPr="00160D7F">
              <w:rPr>
                <w:rFonts w:ascii="Arial" w:hAnsi="Arial" w:cs="Arial"/>
                <w:sz w:val="20"/>
              </w:rPr>
              <w:t>výuky</w:t>
            </w:r>
          </w:p>
        </w:tc>
        <w:tc>
          <w:tcPr>
            <w:tcW w:w="5221" w:type="dxa"/>
          </w:tcPr>
          <w:p w14:paraId="360421B5" w14:textId="464CA720" w:rsidR="001504F5" w:rsidRPr="00160D7F" w:rsidRDefault="0080579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český</w:t>
            </w:r>
          </w:p>
        </w:tc>
      </w:tr>
      <w:tr w:rsidR="001504F5" w:rsidRPr="00FB55D5" w14:paraId="74DCEEAB" w14:textId="77777777" w:rsidTr="00691411">
        <w:trPr>
          <w:trHeight w:val="357"/>
        </w:trPr>
        <w:tc>
          <w:tcPr>
            <w:tcW w:w="3805" w:type="dxa"/>
          </w:tcPr>
          <w:p w14:paraId="7C56B598" w14:textId="0FA41928" w:rsidR="001504F5" w:rsidRPr="00160D7F" w:rsidRDefault="00256C8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Oblast</w:t>
            </w:r>
            <w:r w:rsidR="005242E9" w:rsidRPr="00160D7F">
              <w:rPr>
                <w:rFonts w:ascii="Arial" w:hAnsi="Arial" w:cs="Arial"/>
                <w:sz w:val="20"/>
              </w:rPr>
              <w:t>/</w:t>
            </w:r>
            <w:r w:rsidRPr="00160D7F">
              <w:rPr>
                <w:rFonts w:ascii="Arial" w:hAnsi="Arial" w:cs="Arial"/>
                <w:sz w:val="20"/>
              </w:rPr>
              <w:t>oblasti vzdělávání s</w:t>
            </w:r>
            <w:r w:rsidR="005242E9" w:rsidRPr="00160D7F">
              <w:rPr>
                <w:rFonts w:ascii="Arial" w:hAnsi="Arial" w:cs="Arial"/>
                <w:sz w:val="20"/>
              </w:rPr>
              <w:t xml:space="preserve"> uvedením </w:t>
            </w:r>
            <w:r w:rsidR="00D62EC9" w:rsidRPr="00160D7F">
              <w:rPr>
                <w:rFonts w:ascii="Arial" w:hAnsi="Arial" w:cs="Arial"/>
                <w:sz w:val="20"/>
              </w:rPr>
              <w:t xml:space="preserve">jejich </w:t>
            </w:r>
            <w:r w:rsidR="00F0650F" w:rsidRPr="00160D7F">
              <w:rPr>
                <w:rFonts w:ascii="Arial" w:hAnsi="Arial" w:cs="Arial"/>
                <w:sz w:val="20"/>
              </w:rPr>
              <w:t xml:space="preserve">procentuálního </w:t>
            </w:r>
            <w:r w:rsidRPr="00160D7F">
              <w:rPr>
                <w:rFonts w:ascii="Arial" w:hAnsi="Arial" w:cs="Arial"/>
                <w:sz w:val="20"/>
              </w:rPr>
              <w:t>podílu na výuce</w:t>
            </w:r>
            <w:r w:rsidR="00CD1011" w:rsidRPr="00160D7F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5221" w:type="dxa"/>
          </w:tcPr>
          <w:p w14:paraId="25818520" w14:textId="36DA2361" w:rsidR="001504F5" w:rsidRPr="00160D7F" w:rsidRDefault="0080579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Neučitelská pedagogika</w:t>
            </w:r>
          </w:p>
        </w:tc>
      </w:tr>
      <w:tr w:rsidR="001504F5" w:rsidRPr="00FB55D5" w14:paraId="20252E95" w14:textId="77777777" w:rsidTr="00691411">
        <w:trPr>
          <w:trHeight w:val="357"/>
        </w:trPr>
        <w:tc>
          <w:tcPr>
            <w:tcW w:w="3805" w:type="dxa"/>
          </w:tcPr>
          <w:p w14:paraId="5ABD125A" w14:textId="60144A0D" w:rsidR="00B9490D" w:rsidRPr="00160D7F" w:rsidRDefault="00B9490D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 xml:space="preserve">Datum </w:t>
            </w:r>
            <w:r w:rsidR="00256C85" w:rsidRPr="00160D7F">
              <w:rPr>
                <w:rFonts w:ascii="Arial" w:hAnsi="Arial" w:cs="Arial"/>
                <w:sz w:val="20"/>
              </w:rPr>
              <w:t xml:space="preserve">udělení </w:t>
            </w:r>
            <w:r w:rsidR="00CF4E5B" w:rsidRPr="00160D7F">
              <w:rPr>
                <w:rFonts w:ascii="Arial" w:hAnsi="Arial" w:cs="Arial"/>
                <w:sz w:val="20"/>
              </w:rPr>
              <w:t>akreditace</w:t>
            </w:r>
            <w:r w:rsidR="00E4296B">
              <w:rPr>
                <w:rFonts w:ascii="Arial" w:hAnsi="Arial" w:cs="Arial"/>
                <w:sz w:val="20"/>
              </w:rPr>
              <w:t>, resp. p</w:t>
            </w:r>
            <w:r w:rsidR="005D3FB3" w:rsidRPr="00160D7F">
              <w:rPr>
                <w:rFonts w:ascii="Arial" w:hAnsi="Arial" w:cs="Arial"/>
                <w:sz w:val="20"/>
              </w:rPr>
              <w:t xml:space="preserve">oslední </w:t>
            </w:r>
            <w:proofErr w:type="spellStart"/>
            <w:r w:rsidR="005D3FB3" w:rsidRPr="00160D7F">
              <w:rPr>
                <w:rFonts w:ascii="Arial" w:hAnsi="Arial" w:cs="Arial"/>
                <w:sz w:val="20"/>
              </w:rPr>
              <w:t>reakreditace</w:t>
            </w:r>
            <w:proofErr w:type="spellEnd"/>
          </w:p>
        </w:tc>
        <w:tc>
          <w:tcPr>
            <w:tcW w:w="5221" w:type="dxa"/>
          </w:tcPr>
          <w:p w14:paraId="2275E6D5" w14:textId="087E0728" w:rsidR="001504F5" w:rsidRPr="00160D7F" w:rsidRDefault="00805795" w:rsidP="00805795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5. 6. 2019</w:t>
            </w:r>
          </w:p>
        </w:tc>
      </w:tr>
      <w:tr w:rsidR="00B9490D" w:rsidRPr="00FB55D5" w14:paraId="0A4E688B" w14:textId="77777777" w:rsidTr="00691411">
        <w:trPr>
          <w:trHeight w:val="357"/>
        </w:trPr>
        <w:tc>
          <w:tcPr>
            <w:tcW w:w="3805" w:type="dxa"/>
          </w:tcPr>
          <w:p w14:paraId="4D78BC41" w14:textId="65E72CDE" w:rsidR="00B9490D" w:rsidRPr="00160D7F" w:rsidRDefault="00B9490D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Datum</w:t>
            </w:r>
            <w:r w:rsidR="00256C85" w:rsidRPr="00160D7F">
              <w:rPr>
                <w:rFonts w:ascii="Arial" w:hAnsi="Arial" w:cs="Arial"/>
                <w:sz w:val="20"/>
              </w:rPr>
              <w:t>, ke kterému končí</w:t>
            </w:r>
            <w:r w:rsidRPr="00160D7F">
              <w:rPr>
                <w:rFonts w:ascii="Arial" w:hAnsi="Arial" w:cs="Arial"/>
                <w:sz w:val="20"/>
              </w:rPr>
              <w:t xml:space="preserve"> platnost </w:t>
            </w:r>
            <w:r w:rsidR="00CF4E5B" w:rsidRPr="00160D7F">
              <w:rPr>
                <w:rFonts w:ascii="Arial" w:hAnsi="Arial" w:cs="Arial"/>
                <w:sz w:val="20"/>
              </w:rPr>
              <w:t>akreditace</w:t>
            </w:r>
            <w:r w:rsidR="00256C85" w:rsidRPr="00160D7F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5221" w:type="dxa"/>
          </w:tcPr>
          <w:p w14:paraId="2BDAF74F" w14:textId="40532390" w:rsidR="00B9490D" w:rsidRPr="00160D7F" w:rsidRDefault="0080579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5. 6. 2029</w:t>
            </w:r>
          </w:p>
        </w:tc>
      </w:tr>
      <w:tr w:rsidR="00126BD9" w:rsidRPr="00FB55D5" w14:paraId="472A52E4" w14:textId="77777777" w:rsidTr="00691411">
        <w:trPr>
          <w:trHeight w:val="357"/>
        </w:trPr>
        <w:tc>
          <w:tcPr>
            <w:tcW w:w="3805" w:type="dxa"/>
          </w:tcPr>
          <w:p w14:paraId="6B704778" w14:textId="5F4CCC4D" w:rsidR="00126BD9" w:rsidRPr="00160D7F" w:rsidRDefault="00126BD9" w:rsidP="0071091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Garant/garanti studijního programu</w:t>
            </w:r>
            <w:r w:rsidR="00FD5D83" w:rsidRPr="00160D7F">
              <w:rPr>
                <w:rFonts w:ascii="Arial" w:hAnsi="Arial" w:cs="Arial"/>
                <w:sz w:val="20"/>
              </w:rPr>
              <w:t xml:space="preserve"> </w:t>
            </w:r>
            <w:r w:rsidR="00D01BC7" w:rsidRPr="00160D7F">
              <w:rPr>
                <w:rFonts w:ascii="Arial" w:hAnsi="Arial" w:cs="Arial"/>
                <w:sz w:val="20"/>
              </w:rPr>
              <w:t xml:space="preserve">působící </w:t>
            </w:r>
            <w:r w:rsidRPr="00160D7F">
              <w:rPr>
                <w:rFonts w:ascii="Arial" w:hAnsi="Arial" w:cs="Arial"/>
                <w:sz w:val="20"/>
              </w:rPr>
              <w:t xml:space="preserve">během platnosti akreditace (od-do) </w:t>
            </w:r>
          </w:p>
        </w:tc>
        <w:tc>
          <w:tcPr>
            <w:tcW w:w="5221" w:type="dxa"/>
          </w:tcPr>
          <w:p w14:paraId="4D72C632" w14:textId="67F60811" w:rsidR="00126BD9" w:rsidRPr="00160D7F" w:rsidRDefault="0080579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doc. PhDr. Lenka Haburajová Ilavská, PhD.</w:t>
            </w:r>
          </w:p>
        </w:tc>
      </w:tr>
      <w:tr w:rsidR="005D3FB3" w:rsidRPr="00FB55D5" w14:paraId="122434FB" w14:textId="77777777" w:rsidTr="00691411">
        <w:trPr>
          <w:trHeight w:val="357"/>
        </w:trPr>
        <w:tc>
          <w:tcPr>
            <w:tcW w:w="3805" w:type="dxa"/>
          </w:tcPr>
          <w:p w14:paraId="53A53A23" w14:textId="6B9447D5" w:rsidR="005D3FB3" w:rsidRPr="00160D7F" w:rsidRDefault="005D3FB3" w:rsidP="0071091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Webová stránka pracoviště</w:t>
            </w:r>
          </w:p>
        </w:tc>
        <w:tc>
          <w:tcPr>
            <w:tcW w:w="5221" w:type="dxa"/>
          </w:tcPr>
          <w:p w14:paraId="04B440BD" w14:textId="50BAC273" w:rsidR="00805795" w:rsidRPr="00160D7F" w:rsidRDefault="00BF0154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hyperlink r:id="rId11" w:history="1">
              <w:r w:rsidR="00805795" w:rsidRPr="00805795">
                <w:rPr>
                  <w:rStyle w:val="Hypertextovodkaz"/>
                  <w:rFonts w:ascii="Arial" w:hAnsi="Arial" w:cs="Arial"/>
                  <w:sz w:val="20"/>
                </w:rPr>
                <w:t>https://fhs.utb.cz/o-fakulte/zakladni-informace/ustavy/ustav-pedagogickych-ved/o-ustavu/</w:t>
              </w:r>
            </w:hyperlink>
          </w:p>
        </w:tc>
      </w:tr>
    </w:tbl>
    <w:p w14:paraId="7D0D63F9" w14:textId="25901E0F" w:rsidR="00B769CE" w:rsidRPr="00087ACC" w:rsidRDefault="00087ACC" w:rsidP="00E4296B">
      <w:pPr>
        <w:jc w:val="both"/>
        <w:rPr>
          <w:sz w:val="16"/>
          <w:szCs w:val="16"/>
        </w:rPr>
      </w:pPr>
      <w:r w:rsidRPr="00087ACC">
        <w:rPr>
          <w:sz w:val="16"/>
          <w:szCs w:val="16"/>
        </w:rPr>
        <w:t>Poznámky: Navazuje na indikátor A</w:t>
      </w:r>
      <w:r w:rsidRPr="00087ACC">
        <w:rPr>
          <w:sz w:val="16"/>
          <w:szCs w:val="16"/>
          <w:vertAlign w:val="subscript"/>
        </w:rPr>
        <w:t>1</w:t>
      </w:r>
      <w:r w:rsidRPr="00087ACC">
        <w:rPr>
          <w:sz w:val="16"/>
          <w:szCs w:val="16"/>
        </w:rPr>
        <w:t xml:space="preserve"> </w:t>
      </w:r>
      <w:r w:rsidRPr="00087ACC">
        <w:rPr>
          <w:rFonts w:eastAsia="Times New Roman" w:cs="Arial"/>
          <w:color w:val="000000"/>
          <w:sz w:val="16"/>
          <w:szCs w:val="16"/>
          <w:lang w:eastAsia="cs-CZ"/>
        </w:rPr>
        <w:t xml:space="preserve">Zprávy o vnitřním hodnocení </w:t>
      </w:r>
      <w:r w:rsidRPr="00087ACC">
        <w:rPr>
          <w:rFonts w:cs="Arial"/>
          <w:sz w:val="16"/>
          <w:szCs w:val="16"/>
        </w:rPr>
        <w:t>kvality vzdělávací, tvůrčí a s nimi souvisejících činností Univerzity Tomáše Bati ve Zlíně</w:t>
      </w:r>
      <w:r>
        <w:rPr>
          <w:rFonts w:cs="Arial"/>
          <w:sz w:val="16"/>
          <w:szCs w:val="16"/>
        </w:rPr>
        <w:t xml:space="preserve"> (dále jen „ZVH UTB“).</w:t>
      </w:r>
    </w:p>
    <w:p w14:paraId="3FA13EA4" w14:textId="77777777" w:rsidR="00087ACC" w:rsidRDefault="00087ACC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71D2AFF6" w14:textId="77777777" w:rsidR="004C2425" w:rsidRDefault="004C2425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00E882FB" w14:textId="64A8E80C" w:rsidR="00D10DDA" w:rsidRPr="00F75C3F" w:rsidRDefault="00F75C3F" w:rsidP="00691411">
      <w:pPr>
        <w:pStyle w:val="Bezmezer"/>
        <w:rPr>
          <w:rFonts w:ascii="Arial" w:hAnsi="Arial" w:cs="Arial"/>
          <w:b/>
          <w:color w:val="C45911" w:themeColor="accent2" w:themeShade="BF"/>
          <w:sz w:val="24"/>
          <w:szCs w:val="24"/>
        </w:rPr>
      </w:pPr>
      <w:r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Část </w:t>
      </w:r>
      <w:r w:rsidR="00B44194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1</w:t>
      </w:r>
      <w:r w:rsidR="004E7679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a)</w:t>
      </w:r>
      <w:r w:rsidR="00B44194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 </w:t>
      </w:r>
      <w:r w:rsidR="00EB1397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Statistická část</w:t>
      </w:r>
      <w:r w:rsidR="00B44194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 </w:t>
      </w:r>
      <w:r w:rsidR="009C571C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- </w:t>
      </w:r>
      <w:r w:rsidR="00982B10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počt</w:t>
      </w:r>
      <w:r w:rsidR="005A4040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y </w:t>
      </w:r>
      <w:r w:rsidR="00982B10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studentů a </w:t>
      </w:r>
      <w:r w:rsidR="00691411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absolventů</w:t>
      </w:r>
      <w:r w:rsidR="004E7679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 SP</w:t>
      </w:r>
    </w:p>
    <w:p w14:paraId="2B37E191" w14:textId="77777777" w:rsidR="00691411" w:rsidRPr="00691411" w:rsidRDefault="00691411" w:rsidP="00691411">
      <w:pPr>
        <w:pStyle w:val="Bezmezer"/>
        <w:rPr>
          <w:rFonts w:ascii="Arial" w:hAnsi="Arial" w:cs="Arial"/>
          <w:color w:val="C45911" w:themeColor="accent2" w:themeShade="BF"/>
          <w:sz w:val="32"/>
          <w:szCs w:val="32"/>
        </w:rPr>
      </w:pPr>
    </w:p>
    <w:tbl>
      <w:tblPr>
        <w:tblStyle w:val="Mkatabulky"/>
        <w:tblW w:w="9074" w:type="dxa"/>
        <w:tblLook w:val="04A0" w:firstRow="1" w:lastRow="0" w:firstColumn="1" w:lastColumn="0" w:noHBand="0" w:noVBand="1"/>
      </w:tblPr>
      <w:tblGrid>
        <w:gridCol w:w="762"/>
        <w:gridCol w:w="2604"/>
        <w:gridCol w:w="1372"/>
        <w:gridCol w:w="1556"/>
        <w:gridCol w:w="1372"/>
        <w:gridCol w:w="1408"/>
      </w:tblGrid>
      <w:tr w:rsidR="004E7679" w:rsidRPr="00691411" w14:paraId="675DDF89" w14:textId="77777777" w:rsidTr="00160D7F">
        <w:trPr>
          <w:trHeight w:val="381"/>
        </w:trPr>
        <w:tc>
          <w:tcPr>
            <w:tcW w:w="3366" w:type="dxa"/>
            <w:gridSpan w:val="2"/>
            <w:shd w:val="clear" w:color="auto" w:fill="F7CAAC" w:themeFill="accent2" w:themeFillTint="66"/>
            <w:hideMark/>
          </w:tcPr>
          <w:p w14:paraId="1E4D1C42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Počet studentů</w:t>
            </w: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1)</w:t>
            </w:r>
          </w:p>
        </w:tc>
        <w:tc>
          <w:tcPr>
            <w:tcW w:w="1372" w:type="dxa"/>
            <w:shd w:val="clear" w:color="auto" w:fill="F7CAAC" w:themeFill="accent2" w:themeFillTint="66"/>
            <w:hideMark/>
          </w:tcPr>
          <w:p w14:paraId="0F41E22D" w14:textId="27342864" w:rsidR="004E7679" w:rsidRPr="00691411" w:rsidRDefault="00805795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2020/2021</w:t>
            </w:r>
          </w:p>
        </w:tc>
        <w:tc>
          <w:tcPr>
            <w:tcW w:w="1556" w:type="dxa"/>
            <w:shd w:val="clear" w:color="auto" w:fill="F7CAAC" w:themeFill="accent2" w:themeFillTint="66"/>
            <w:hideMark/>
          </w:tcPr>
          <w:p w14:paraId="6D8E95C9" w14:textId="1A7369A4" w:rsidR="004E7679" w:rsidRPr="00691411" w:rsidRDefault="00805795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2021/2022</w:t>
            </w:r>
          </w:p>
        </w:tc>
        <w:tc>
          <w:tcPr>
            <w:tcW w:w="1372" w:type="dxa"/>
            <w:shd w:val="clear" w:color="auto" w:fill="F7CAAC" w:themeFill="accent2" w:themeFillTint="66"/>
            <w:hideMark/>
          </w:tcPr>
          <w:p w14:paraId="12153E21" w14:textId="342FD985" w:rsidR="004E7679" w:rsidRPr="00691411" w:rsidRDefault="00805795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2022/2023</w:t>
            </w:r>
          </w:p>
        </w:tc>
        <w:tc>
          <w:tcPr>
            <w:tcW w:w="1408" w:type="dxa"/>
            <w:shd w:val="clear" w:color="auto" w:fill="F7CAAC" w:themeFill="accent2" w:themeFillTint="66"/>
            <w:hideMark/>
          </w:tcPr>
          <w:p w14:paraId="53FD2013" w14:textId="110ADE65" w:rsidR="004E7679" w:rsidRPr="00691411" w:rsidRDefault="00805795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2023/2024</w:t>
            </w:r>
          </w:p>
        </w:tc>
      </w:tr>
      <w:tr w:rsidR="00F33B5E" w:rsidRPr="00691411" w14:paraId="4C81A24A" w14:textId="77777777" w:rsidTr="00975433">
        <w:trPr>
          <w:trHeight w:val="267"/>
        </w:trPr>
        <w:tc>
          <w:tcPr>
            <w:tcW w:w="762" w:type="dxa"/>
            <w:vMerge w:val="restart"/>
            <w:noWrap/>
            <w:textDirection w:val="btLr"/>
            <w:hideMark/>
          </w:tcPr>
          <w:p w14:paraId="17558A9A" w14:textId="77777777" w:rsidR="00F33B5E" w:rsidRPr="00691411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604" w:type="dxa"/>
            <w:hideMark/>
          </w:tcPr>
          <w:p w14:paraId="47B2E4C6" w14:textId="77777777" w:rsidR="00F33B5E" w:rsidRPr="00691411" w:rsidRDefault="00F33B5E" w:rsidP="00F33B5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372" w:type="dxa"/>
            <w:vAlign w:val="center"/>
            <w:hideMark/>
          </w:tcPr>
          <w:p w14:paraId="34FF6DED" w14:textId="01404C49" w:rsidR="00F33B5E" w:rsidRPr="00F33B5E" w:rsidRDefault="00F33B5E" w:rsidP="0097543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33B5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69</w:t>
            </w:r>
          </w:p>
        </w:tc>
        <w:tc>
          <w:tcPr>
            <w:tcW w:w="1556" w:type="dxa"/>
            <w:vAlign w:val="center"/>
            <w:hideMark/>
          </w:tcPr>
          <w:p w14:paraId="4628E973" w14:textId="1E2DF8D2" w:rsidR="00F33B5E" w:rsidRPr="00F33B5E" w:rsidRDefault="00F33B5E" w:rsidP="0097543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33B5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80</w:t>
            </w:r>
          </w:p>
        </w:tc>
        <w:tc>
          <w:tcPr>
            <w:tcW w:w="1372" w:type="dxa"/>
            <w:vAlign w:val="center"/>
            <w:hideMark/>
          </w:tcPr>
          <w:p w14:paraId="2A90BE24" w14:textId="325BBCBA" w:rsidR="00F33B5E" w:rsidRPr="00F33B5E" w:rsidRDefault="00F33B5E" w:rsidP="0097543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33B5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71</w:t>
            </w:r>
          </w:p>
        </w:tc>
        <w:tc>
          <w:tcPr>
            <w:tcW w:w="1408" w:type="dxa"/>
            <w:vAlign w:val="center"/>
            <w:hideMark/>
          </w:tcPr>
          <w:p w14:paraId="0DDB2AFF" w14:textId="096A5EC3" w:rsidR="00F33B5E" w:rsidRPr="00F33B5E" w:rsidRDefault="00F33B5E" w:rsidP="0097543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33B5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60</w:t>
            </w:r>
          </w:p>
        </w:tc>
      </w:tr>
      <w:tr w:rsidR="00F33B5E" w:rsidRPr="00691411" w14:paraId="77AAB89B" w14:textId="77777777" w:rsidTr="00975433">
        <w:trPr>
          <w:trHeight w:val="267"/>
        </w:trPr>
        <w:tc>
          <w:tcPr>
            <w:tcW w:w="762" w:type="dxa"/>
            <w:vMerge/>
            <w:hideMark/>
          </w:tcPr>
          <w:p w14:paraId="243BCE2C" w14:textId="77777777" w:rsidR="00F33B5E" w:rsidRPr="00691411" w:rsidRDefault="00F33B5E" w:rsidP="00F33B5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604" w:type="dxa"/>
            <w:hideMark/>
          </w:tcPr>
          <w:p w14:paraId="256126EF" w14:textId="77777777" w:rsidR="00F33B5E" w:rsidRPr="00691411" w:rsidRDefault="00F33B5E" w:rsidP="00F33B5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372" w:type="dxa"/>
            <w:vAlign w:val="center"/>
            <w:hideMark/>
          </w:tcPr>
          <w:p w14:paraId="1B1F541A" w14:textId="4344FC91" w:rsidR="00F33B5E" w:rsidRPr="00F33B5E" w:rsidRDefault="00F33B5E" w:rsidP="0097543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33B5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67</w:t>
            </w:r>
          </w:p>
        </w:tc>
        <w:tc>
          <w:tcPr>
            <w:tcW w:w="1556" w:type="dxa"/>
            <w:vAlign w:val="center"/>
            <w:hideMark/>
          </w:tcPr>
          <w:p w14:paraId="1BEA228B" w14:textId="5DA18552" w:rsidR="00F33B5E" w:rsidRPr="00F33B5E" w:rsidRDefault="00F33B5E" w:rsidP="0097543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33B5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77</w:t>
            </w:r>
          </w:p>
        </w:tc>
        <w:tc>
          <w:tcPr>
            <w:tcW w:w="1372" w:type="dxa"/>
            <w:vAlign w:val="center"/>
            <w:hideMark/>
          </w:tcPr>
          <w:p w14:paraId="003BF1B6" w14:textId="2D302E04" w:rsidR="00F33B5E" w:rsidRPr="00F33B5E" w:rsidRDefault="00F33B5E" w:rsidP="0097543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33B5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63</w:t>
            </w:r>
          </w:p>
        </w:tc>
        <w:tc>
          <w:tcPr>
            <w:tcW w:w="1408" w:type="dxa"/>
            <w:vAlign w:val="center"/>
            <w:hideMark/>
          </w:tcPr>
          <w:p w14:paraId="16B483F9" w14:textId="485C0785" w:rsidR="00F33B5E" w:rsidRPr="00F33B5E" w:rsidRDefault="00F33B5E" w:rsidP="0097543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33B5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65</w:t>
            </w:r>
          </w:p>
        </w:tc>
      </w:tr>
      <w:tr w:rsidR="00F33B5E" w:rsidRPr="00691411" w14:paraId="019152B2" w14:textId="77777777" w:rsidTr="00975433">
        <w:trPr>
          <w:trHeight w:val="267"/>
        </w:trPr>
        <w:tc>
          <w:tcPr>
            <w:tcW w:w="762" w:type="dxa"/>
            <w:vMerge/>
            <w:hideMark/>
          </w:tcPr>
          <w:p w14:paraId="6B790DA3" w14:textId="77777777" w:rsidR="00F33B5E" w:rsidRPr="00691411" w:rsidRDefault="00F33B5E" w:rsidP="00F33B5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604" w:type="dxa"/>
            <w:hideMark/>
          </w:tcPr>
          <w:p w14:paraId="1E0D25D2" w14:textId="77777777" w:rsidR="00F33B5E" w:rsidRPr="00691411" w:rsidRDefault="00F33B5E" w:rsidP="00F33B5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372" w:type="dxa"/>
            <w:vAlign w:val="center"/>
            <w:hideMark/>
          </w:tcPr>
          <w:p w14:paraId="7970A9A6" w14:textId="4D3AA129" w:rsidR="00F33B5E" w:rsidRPr="00F33B5E" w:rsidRDefault="00F33B5E" w:rsidP="0097543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33B5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136</w:t>
            </w:r>
          </w:p>
        </w:tc>
        <w:tc>
          <w:tcPr>
            <w:tcW w:w="1556" w:type="dxa"/>
            <w:vAlign w:val="center"/>
            <w:hideMark/>
          </w:tcPr>
          <w:p w14:paraId="722946A1" w14:textId="4F26FBC5" w:rsidR="00F33B5E" w:rsidRPr="00F33B5E" w:rsidRDefault="00F33B5E" w:rsidP="0097543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33B5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157</w:t>
            </w:r>
          </w:p>
        </w:tc>
        <w:tc>
          <w:tcPr>
            <w:tcW w:w="1372" w:type="dxa"/>
            <w:vAlign w:val="center"/>
            <w:hideMark/>
          </w:tcPr>
          <w:p w14:paraId="34877C1C" w14:textId="73CD313D" w:rsidR="00F33B5E" w:rsidRPr="00F33B5E" w:rsidRDefault="00F33B5E" w:rsidP="0097543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33B5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134</w:t>
            </w:r>
          </w:p>
        </w:tc>
        <w:tc>
          <w:tcPr>
            <w:tcW w:w="1408" w:type="dxa"/>
            <w:vAlign w:val="center"/>
            <w:hideMark/>
          </w:tcPr>
          <w:p w14:paraId="4CB10E1F" w14:textId="3076549C" w:rsidR="00F33B5E" w:rsidRPr="00F33B5E" w:rsidRDefault="00F33B5E" w:rsidP="0097543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33B5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125</w:t>
            </w:r>
          </w:p>
        </w:tc>
      </w:tr>
      <w:tr w:rsidR="00F33B5E" w:rsidRPr="00691411" w14:paraId="23258E19" w14:textId="77777777" w:rsidTr="00160D7F">
        <w:trPr>
          <w:trHeight w:val="381"/>
        </w:trPr>
        <w:tc>
          <w:tcPr>
            <w:tcW w:w="3366" w:type="dxa"/>
            <w:gridSpan w:val="2"/>
            <w:shd w:val="clear" w:color="auto" w:fill="F7CAAC" w:themeFill="accent2" w:themeFillTint="66"/>
            <w:hideMark/>
          </w:tcPr>
          <w:p w14:paraId="3F1E3947" w14:textId="77777777" w:rsidR="00F33B5E" w:rsidRPr="00691411" w:rsidRDefault="00F33B5E" w:rsidP="00F33B5E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Počet absolventů     </w:t>
            </w:r>
          </w:p>
        </w:tc>
        <w:tc>
          <w:tcPr>
            <w:tcW w:w="1372" w:type="dxa"/>
            <w:shd w:val="clear" w:color="auto" w:fill="F7CAAC" w:themeFill="accent2" w:themeFillTint="66"/>
            <w:hideMark/>
          </w:tcPr>
          <w:p w14:paraId="05881EA2" w14:textId="17DD3F89" w:rsidR="00F33B5E" w:rsidRPr="00805795" w:rsidRDefault="00F33B5E" w:rsidP="00F33B5E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05795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2020/2021</w:t>
            </w:r>
          </w:p>
        </w:tc>
        <w:tc>
          <w:tcPr>
            <w:tcW w:w="1556" w:type="dxa"/>
            <w:shd w:val="clear" w:color="auto" w:fill="F7CAAC" w:themeFill="accent2" w:themeFillTint="66"/>
            <w:hideMark/>
          </w:tcPr>
          <w:p w14:paraId="520BD084" w14:textId="7B2F7C87" w:rsidR="00F33B5E" w:rsidRPr="00805795" w:rsidRDefault="00F33B5E" w:rsidP="00F33B5E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05795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2021/2022</w:t>
            </w:r>
          </w:p>
        </w:tc>
        <w:tc>
          <w:tcPr>
            <w:tcW w:w="1372" w:type="dxa"/>
            <w:shd w:val="clear" w:color="auto" w:fill="F7CAAC" w:themeFill="accent2" w:themeFillTint="66"/>
            <w:hideMark/>
          </w:tcPr>
          <w:p w14:paraId="2A4B437A" w14:textId="2FBC2DD7" w:rsidR="00F33B5E" w:rsidRPr="00805795" w:rsidRDefault="00F33B5E" w:rsidP="00F33B5E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05795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2022/2023</w:t>
            </w:r>
          </w:p>
        </w:tc>
        <w:tc>
          <w:tcPr>
            <w:tcW w:w="1408" w:type="dxa"/>
            <w:shd w:val="clear" w:color="auto" w:fill="F7CAAC" w:themeFill="accent2" w:themeFillTint="66"/>
            <w:hideMark/>
          </w:tcPr>
          <w:p w14:paraId="24686BE6" w14:textId="31E8DFC3" w:rsidR="00F33B5E" w:rsidRPr="00805795" w:rsidRDefault="00F33B5E" w:rsidP="00F33B5E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05795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2023/2024</w:t>
            </w:r>
          </w:p>
        </w:tc>
      </w:tr>
      <w:tr w:rsidR="00F33B5E" w:rsidRPr="00691411" w14:paraId="04DFED58" w14:textId="77777777" w:rsidTr="00975433">
        <w:trPr>
          <w:trHeight w:val="267"/>
        </w:trPr>
        <w:tc>
          <w:tcPr>
            <w:tcW w:w="762" w:type="dxa"/>
            <w:vMerge w:val="restart"/>
            <w:noWrap/>
            <w:textDirection w:val="btLr"/>
            <w:hideMark/>
          </w:tcPr>
          <w:p w14:paraId="72C92387" w14:textId="77777777" w:rsidR="00F33B5E" w:rsidRPr="00691411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604" w:type="dxa"/>
            <w:hideMark/>
          </w:tcPr>
          <w:p w14:paraId="2964F911" w14:textId="77777777" w:rsidR="00F33B5E" w:rsidRPr="00691411" w:rsidRDefault="00F33B5E" w:rsidP="00F33B5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372" w:type="dxa"/>
            <w:vAlign w:val="center"/>
            <w:hideMark/>
          </w:tcPr>
          <w:p w14:paraId="21B3C0F1" w14:textId="4978F71E" w:rsidR="00F33B5E" w:rsidRPr="00691411" w:rsidRDefault="00F33B5E" w:rsidP="0097543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556" w:type="dxa"/>
            <w:vAlign w:val="center"/>
            <w:hideMark/>
          </w:tcPr>
          <w:p w14:paraId="07FDA722" w14:textId="4D844CAE" w:rsidR="00F33B5E" w:rsidRPr="00691411" w:rsidRDefault="00F33B5E" w:rsidP="0097543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39</w:t>
            </w:r>
          </w:p>
        </w:tc>
        <w:tc>
          <w:tcPr>
            <w:tcW w:w="1372" w:type="dxa"/>
            <w:vAlign w:val="center"/>
            <w:hideMark/>
          </w:tcPr>
          <w:p w14:paraId="29018511" w14:textId="7F678658" w:rsidR="00F33B5E" w:rsidRPr="00691411" w:rsidRDefault="00F33B5E" w:rsidP="0097543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41</w:t>
            </w:r>
          </w:p>
        </w:tc>
        <w:tc>
          <w:tcPr>
            <w:tcW w:w="1408" w:type="dxa"/>
            <w:vAlign w:val="center"/>
            <w:hideMark/>
          </w:tcPr>
          <w:p w14:paraId="3A5A9C1E" w14:textId="4637F7CE" w:rsidR="00F33B5E" w:rsidRPr="00691411" w:rsidRDefault="00F33B5E" w:rsidP="0097543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38</w:t>
            </w:r>
          </w:p>
        </w:tc>
      </w:tr>
      <w:tr w:rsidR="00F33B5E" w:rsidRPr="00691411" w14:paraId="1F6B45DB" w14:textId="77777777" w:rsidTr="00975433">
        <w:trPr>
          <w:trHeight w:val="267"/>
        </w:trPr>
        <w:tc>
          <w:tcPr>
            <w:tcW w:w="762" w:type="dxa"/>
            <w:vMerge/>
            <w:hideMark/>
          </w:tcPr>
          <w:p w14:paraId="1DA0FC86" w14:textId="77777777" w:rsidR="00F33B5E" w:rsidRPr="00691411" w:rsidRDefault="00F33B5E" w:rsidP="00F33B5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604" w:type="dxa"/>
            <w:hideMark/>
          </w:tcPr>
          <w:p w14:paraId="440452F5" w14:textId="77777777" w:rsidR="00F33B5E" w:rsidRPr="00691411" w:rsidRDefault="00F33B5E" w:rsidP="00F33B5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372" w:type="dxa"/>
            <w:vAlign w:val="center"/>
            <w:hideMark/>
          </w:tcPr>
          <w:p w14:paraId="74EF5645" w14:textId="323D35B0" w:rsidR="00F33B5E" w:rsidRPr="00691411" w:rsidRDefault="00F33B5E" w:rsidP="0097543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556" w:type="dxa"/>
            <w:vAlign w:val="center"/>
            <w:hideMark/>
          </w:tcPr>
          <w:p w14:paraId="1CCD8A08" w14:textId="74B75C80" w:rsidR="00F33B5E" w:rsidRPr="00691411" w:rsidRDefault="00F33B5E" w:rsidP="0097543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54</w:t>
            </w:r>
          </w:p>
        </w:tc>
        <w:tc>
          <w:tcPr>
            <w:tcW w:w="1372" w:type="dxa"/>
            <w:vAlign w:val="center"/>
            <w:hideMark/>
          </w:tcPr>
          <w:p w14:paraId="14351D37" w14:textId="638FBD23" w:rsidR="00F33B5E" w:rsidRPr="00691411" w:rsidRDefault="00F33B5E" w:rsidP="0097543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1408" w:type="dxa"/>
            <w:vAlign w:val="center"/>
            <w:hideMark/>
          </w:tcPr>
          <w:p w14:paraId="54AE8552" w14:textId="6EA34B01" w:rsidR="00F33B5E" w:rsidRPr="00691411" w:rsidRDefault="00F33B5E" w:rsidP="0097543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40</w:t>
            </w:r>
          </w:p>
        </w:tc>
      </w:tr>
      <w:tr w:rsidR="00F33B5E" w:rsidRPr="00691411" w14:paraId="0EC1301A" w14:textId="77777777" w:rsidTr="00975433">
        <w:trPr>
          <w:trHeight w:val="267"/>
        </w:trPr>
        <w:tc>
          <w:tcPr>
            <w:tcW w:w="762" w:type="dxa"/>
            <w:vMerge/>
            <w:hideMark/>
          </w:tcPr>
          <w:p w14:paraId="7163A8B0" w14:textId="77777777" w:rsidR="00F33B5E" w:rsidRPr="00691411" w:rsidRDefault="00F33B5E" w:rsidP="00F33B5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604" w:type="dxa"/>
            <w:hideMark/>
          </w:tcPr>
          <w:p w14:paraId="174B68BE" w14:textId="77777777" w:rsidR="00F33B5E" w:rsidRPr="00691411" w:rsidRDefault="00F33B5E" w:rsidP="00F33B5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372" w:type="dxa"/>
            <w:vAlign w:val="center"/>
            <w:hideMark/>
          </w:tcPr>
          <w:p w14:paraId="42FDFDCA" w14:textId="42143504" w:rsidR="00F33B5E" w:rsidRPr="00691411" w:rsidRDefault="00F33B5E" w:rsidP="0097543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556" w:type="dxa"/>
            <w:vAlign w:val="center"/>
            <w:hideMark/>
          </w:tcPr>
          <w:p w14:paraId="24FE1423" w14:textId="44032A53" w:rsidR="00F33B5E" w:rsidRPr="00691411" w:rsidRDefault="00F33B5E" w:rsidP="0097543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93</w:t>
            </w:r>
          </w:p>
        </w:tc>
        <w:tc>
          <w:tcPr>
            <w:tcW w:w="1372" w:type="dxa"/>
            <w:vAlign w:val="center"/>
            <w:hideMark/>
          </w:tcPr>
          <w:p w14:paraId="42574FD1" w14:textId="4931A45D" w:rsidR="00F33B5E" w:rsidRPr="00691411" w:rsidRDefault="00F33B5E" w:rsidP="0097543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69</w:t>
            </w:r>
          </w:p>
        </w:tc>
        <w:tc>
          <w:tcPr>
            <w:tcW w:w="1408" w:type="dxa"/>
            <w:vAlign w:val="center"/>
            <w:hideMark/>
          </w:tcPr>
          <w:p w14:paraId="2A9DDB3F" w14:textId="6930A45F" w:rsidR="00F33B5E" w:rsidRPr="00691411" w:rsidRDefault="00F33B5E" w:rsidP="0097543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</w:t>
            </w:r>
          </w:p>
        </w:tc>
      </w:tr>
    </w:tbl>
    <w:p w14:paraId="2FEC1AB1" w14:textId="6E50BE1C" w:rsidR="00691411" w:rsidRDefault="004E7679" w:rsidP="00D10DDA">
      <w:pPr>
        <w:rPr>
          <w:rFonts w:eastAsia="Times New Roman" w:cs="Arial"/>
          <w:color w:val="000000"/>
          <w:sz w:val="16"/>
          <w:szCs w:val="16"/>
          <w:lang w:eastAsia="cs-CZ"/>
        </w:rPr>
      </w:pPr>
      <w:r w:rsidRPr="004E7679">
        <w:rPr>
          <w:sz w:val="16"/>
          <w:szCs w:val="16"/>
        </w:rPr>
        <w:t>Poznámky:</w:t>
      </w:r>
      <w:r w:rsidR="00E4296B">
        <w:rPr>
          <w:sz w:val="16"/>
          <w:szCs w:val="16"/>
        </w:rPr>
        <w:t xml:space="preserve"> </w:t>
      </w:r>
      <w:r w:rsidRPr="004E7679">
        <w:rPr>
          <w:rFonts w:eastAsia="Times New Roman" w:cs="Arial"/>
          <w:color w:val="000000"/>
          <w:sz w:val="16"/>
          <w:szCs w:val="16"/>
          <w:vertAlign w:val="superscript"/>
          <w:lang w:eastAsia="cs-CZ"/>
        </w:rPr>
        <w:t>1)</w:t>
      </w:r>
      <w:r w:rsidRPr="004E7679">
        <w:rPr>
          <w:rFonts w:eastAsia="Times New Roman" w:cs="Arial"/>
          <w:color w:val="000000"/>
          <w:sz w:val="16"/>
          <w:szCs w:val="16"/>
          <w:lang w:eastAsia="cs-CZ"/>
        </w:rPr>
        <w:t xml:space="preserve"> </w:t>
      </w:r>
      <w:r w:rsidR="00087ACC">
        <w:rPr>
          <w:rFonts w:eastAsia="Times New Roman" w:cs="Arial"/>
          <w:color w:val="000000"/>
          <w:sz w:val="16"/>
          <w:szCs w:val="16"/>
          <w:lang w:eastAsia="cs-CZ"/>
        </w:rPr>
        <w:t xml:space="preserve">Data </w:t>
      </w:r>
      <w:r w:rsidRPr="004E7679">
        <w:rPr>
          <w:rFonts w:eastAsia="Times New Roman" w:cs="Arial"/>
          <w:color w:val="000000"/>
          <w:sz w:val="16"/>
          <w:szCs w:val="16"/>
          <w:lang w:eastAsia="cs-CZ"/>
        </w:rPr>
        <w:t>k 31. 1</w:t>
      </w:r>
      <w:r w:rsidR="00087ACC">
        <w:rPr>
          <w:rFonts w:eastAsia="Times New Roman" w:cs="Arial"/>
          <w:color w:val="000000"/>
          <w:sz w:val="16"/>
          <w:szCs w:val="16"/>
          <w:lang w:eastAsia="cs-CZ"/>
        </w:rPr>
        <w:t>0</w:t>
      </w:r>
      <w:r w:rsidRPr="004E7679">
        <w:rPr>
          <w:rFonts w:eastAsia="Times New Roman" w:cs="Arial"/>
          <w:color w:val="000000"/>
          <w:sz w:val="16"/>
          <w:szCs w:val="16"/>
          <w:lang w:eastAsia="cs-CZ"/>
        </w:rPr>
        <w:t>. daného roku</w:t>
      </w:r>
    </w:p>
    <w:p w14:paraId="5F2BA792" w14:textId="4CC73F23" w:rsidR="00087ACC" w:rsidRDefault="00087ACC" w:rsidP="00D10DDA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 xml:space="preserve">Navazuje na indikátor </w:t>
      </w:r>
      <w:r w:rsidRPr="00087ACC">
        <w:rPr>
          <w:sz w:val="16"/>
          <w:szCs w:val="16"/>
        </w:rPr>
        <w:t>A</w:t>
      </w:r>
      <w:r>
        <w:rPr>
          <w:sz w:val="16"/>
          <w:szCs w:val="16"/>
          <w:vertAlign w:val="subscript"/>
        </w:rPr>
        <w:t>2</w:t>
      </w:r>
      <w:r>
        <w:rPr>
          <w:sz w:val="16"/>
          <w:szCs w:val="16"/>
        </w:rPr>
        <w:t xml:space="preserve"> a A</w:t>
      </w:r>
      <w:r>
        <w:rPr>
          <w:sz w:val="16"/>
          <w:szCs w:val="16"/>
          <w:vertAlign w:val="subscript"/>
        </w:rPr>
        <w:t>7</w:t>
      </w:r>
      <w:r w:rsidRPr="00087ACC">
        <w:rPr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ZVH UTB.</w:t>
      </w:r>
    </w:p>
    <w:p w14:paraId="2E1254A0" w14:textId="77777777" w:rsidR="00087ACC" w:rsidRPr="004E7679" w:rsidRDefault="00087ACC" w:rsidP="00D10DDA">
      <w:pPr>
        <w:rPr>
          <w:sz w:val="16"/>
          <w:szCs w:val="16"/>
        </w:rPr>
      </w:pPr>
    </w:p>
    <w:p w14:paraId="76E7C1F6" w14:textId="77777777" w:rsidR="004E7679" w:rsidRPr="00D10DDA" w:rsidRDefault="004E7679" w:rsidP="00D10DDA"/>
    <w:p w14:paraId="512B8330" w14:textId="77777777" w:rsidR="00D10DDA" w:rsidRPr="00D10DDA" w:rsidRDefault="00D10DDA" w:rsidP="00D10DDA"/>
    <w:p w14:paraId="03440B12" w14:textId="77777777" w:rsidR="00D10DDA" w:rsidRPr="00D10DDA" w:rsidRDefault="00D10DDA" w:rsidP="00D10DDA"/>
    <w:p w14:paraId="3C4385E2" w14:textId="77777777" w:rsidR="00D10DDA" w:rsidRPr="00D10DDA" w:rsidRDefault="00D10DDA" w:rsidP="00D10DDA"/>
    <w:p w14:paraId="502BAFDA" w14:textId="77777777" w:rsidR="00D10DDA" w:rsidRPr="00D10DDA" w:rsidRDefault="00D10DDA" w:rsidP="00D10DDA"/>
    <w:p w14:paraId="58A88F3F" w14:textId="77777777" w:rsidR="00D10DDA" w:rsidRPr="00D10DDA" w:rsidRDefault="00D10DDA" w:rsidP="00D10DDA"/>
    <w:p w14:paraId="03845394" w14:textId="77777777" w:rsidR="00D10DDA" w:rsidRPr="00D10DDA" w:rsidRDefault="00D10DDA" w:rsidP="00D10DDA"/>
    <w:p w14:paraId="04936CDD" w14:textId="77777777" w:rsidR="00D10DDA" w:rsidRPr="00D10DDA" w:rsidRDefault="00D10DDA" w:rsidP="00D10DDA"/>
    <w:p w14:paraId="4B61D73A" w14:textId="77CC9BAB" w:rsidR="00D10DDA" w:rsidRPr="00D10DDA" w:rsidRDefault="00D10DDA" w:rsidP="00D10DDA">
      <w:pPr>
        <w:tabs>
          <w:tab w:val="left" w:pos="3255"/>
        </w:tabs>
      </w:pPr>
      <w:r>
        <w:tab/>
      </w:r>
    </w:p>
    <w:p w14:paraId="027ABAD7" w14:textId="038A9D99" w:rsidR="00BF69BF" w:rsidRPr="00D10DDA" w:rsidRDefault="00D10DDA" w:rsidP="00D10DDA">
      <w:pPr>
        <w:tabs>
          <w:tab w:val="left" w:pos="3255"/>
        </w:tabs>
        <w:sectPr w:rsidR="00BF69BF" w:rsidRPr="00D10DDA" w:rsidSect="009540ED"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tab/>
      </w:r>
    </w:p>
    <w:p w14:paraId="2BA267A5" w14:textId="425267C5" w:rsidR="001D25E4" w:rsidRPr="00F75C3F" w:rsidRDefault="00F75C3F" w:rsidP="001D25E4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 w:rsidRPr="00F75C3F">
        <w:rPr>
          <w:rFonts w:cs="Arial"/>
          <w:b/>
          <w:color w:val="C45911" w:themeColor="accent2" w:themeShade="BF"/>
          <w:sz w:val="32"/>
          <w:szCs w:val="32"/>
        </w:rPr>
        <w:lastRenderedPageBreak/>
        <w:t xml:space="preserve">Část </w:t>
      </w:r>
      <w:r w:rsidR="004E7679" w:rsidRPr="00F75C3F">
        <w:rPr>
          <w:rFonts w:cs="Arial"/>
          <w:b/>
          <w:color w:val="C45911" w:themeColor="accent2" w:themeShade="BF"/>
          <w:sz w:val="32"/>
          <w:szCs w:val="32"/>
        </w:rPr>
        <w:t>2</w:t>
      </w:r>
      <w:r>
        <w:rPr>
          <w:rFonts w:cs="Arial"/>
          <w:b/>
          <w:color w:val="C45911" w:themeColor="accent2" w:themeShade="BF"/>
          <w:sz w:val="32"/>
          <w:szCs w:val="32"/>
        </w:rPr>
        <w:t>.</w:t>
      </w:r>
      <w:r w:rsidR="004E7679" w:rsidRPr="00F75C3F">
        <w:rPr>
          <w:rFonts w:cs="Arial"/>
          <w:b/>
          <w:color w:val="C45911" w:themeColor="accent2" w:themeShade="BF"/>
          <w:sz w:val="32"/>
          <w:szCs w:val="32"/>
        </w:rPr>
        <w:t>)</w:t>
      </w:r>
      <w:r w:rsidR="001D25E4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 </w:t>
      </w:r>
      <w:r w:rsidR="00F57673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Výsledky </w:t>
      </w:r>
      <w:r w:rsidR="004E7679" w:rsidRPr="00F75C3F">
        <w:rPr>
          <w:rFonts w:cs="Arial"/>
          <w:b/>
          <w:color w:val="C45911" w:themeColor="accent2" w:themeShade="BF"/>
          <w:sz w:val="32"/>
          <w:szCs w:val="32"/>
        </w:rPr>
        <w:t>šetření zpětné vazby</w:t>
      </w:r>
    </w:p>
    <w:p w14:paraId="7C29737B" w14:textId="77777777" w:rsidR="00AB6677" w:rsidRPr="00691411" w:rsidRDefault="00AB6677" w:rsidP="00AB6677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</w:p>
    <w:p w14:paraId="1BC482F2" w14:textId="23FE7BF2" w:rsidR="00AB6677" w:rsidRPr="00691411" w:rsidRDefault="004E7679" w:rsidP="00AB6677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t xml:space="preserve">2a) </w:t>
      </w:r>
      <w:r w:rsidR="00AB6677" w:rsidRPr="00691411">
        <w:rPr>
          <w:rFonts w:cs="Arial"/>
          <w:b/>
          <w:color w:val="C45911" w:themeColor="accent2" w:themeShade="BF"/>
          <w:sz w:val="24"/>
          <w:szCs w:val="24"/>
        </w:rPr>
        <w:t xml:space="preserve">Hodnocení výuky </w:t>
      </w:r>
      <w:r w:rsidR="007136C3" w:rsidRPr="00691411">
        <w:rPr>
          <w:rFonts w:cs="Arial"/>
          <w:b/>
          <w:color w:val="C45911" w:themeColor="accent2" w:themeShade="BF"/>
          <w:sz w:val="24"/>
          <w:szCs w:val="24"/>
        </w:rPr>
        <w:t>ve studijním programu</w:t>
      </w:r>
      <w:r w:rsidR="006C5ED8" w:rsidRPr="00691411">
        <w:rPr>
          <w:rFonts w:cs="Arial"/>
          <w:b/>
          <w:color w:val="C45911" w:themeColor="accent2" w:themeShade="BF"/>
          <w:sz w:val="24"/>
          <w:szCs w:val="24"/>
        </w:rPr>
        <w:t xml:space="preserve"> studenty</w:t>
      </w:r>
    </w:p>
    <w:p w14:paraId="35C2FBC9" w14:textId="77777777" w:rsidR="00AB6677" w:rsidRPr="006965DC" w:rsidRDefault="00AB6677" w:rsidP="00AB6677">
      <w:pPr>
        <w:ind w:right="454"/>
        <w:rPr>
          <w:rFonts w:cs="Arial"/>
          <w:b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54"/>
        <w:gridCol w:w="5088"/>
      </w:tblGrid>
      <w:tr w:rsidR="005F35C8" w:rsidRPr="00E907FB" w14:paraId="5E382339" w14:textId="77777777" w:rsidTr="00160D7F">
        <w:trPr>
          <w:trHeight w:val="376"/>
        </w:trPr>
        <w:tc>
          <w:tcPr>
            <w:tcW w:w="9042" w:type="dxa"/>
            <w:gridSpan w:val="2"/>
            <w:shd w:val="clear" w:color="auto" w:fill="F7CAAC" w:themeFill="accent2" w:themeFillTint="66"/>
          </w:tcPr>
          <w:p w14:paraId="2AE9964F" w14:textId="2575453A" w:rsidR="005F35C8" w:rsidRPr="00160D7F" w:rsidRDefault="00087ACC" w:rsidP="00087AC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</w:rPr>
              <w:t>Výsledky s</w:t>
            </w:r>
            <w:r w:rsidR="00F75C3F" w:rsidRPr="00160D7F">
              <w:rPr>
                <w:rFonts w:ascii="Arial" w:hAnsi="Arial" w:cs="Arial"/>
                <w:b/>
                <w:color w:val="000000" w:themeColor="text1"/>
                <w:sz w:val="20"/>
              </w:rPr>
              <w:t>tudentské hodnocení výuky – hodnoc</w:t>
            </w:r>
            <w:r>
              <w:rPr>
                <w:rFonts w:ascii="Arial" w:hAnsi="Arial" w:cs="Arial"/>
                <w:b/>
                <w:color w:val="000000" w:themeColor="text1"/>
                <w:sz w:val="20"/>
              </w:rPr>
              <w:t>ení ze strany studentů v rámci indikátoru C</w:t>
            </w:r>
            <w:r>
              <w:rPr>
                <w:rFonts w:ascii="Arial" w:hAnsi="Arial" w:cs="Arial"/>
                <w:b/>
                <w:color w:val="000000" w:themeColor="text1"/>
                <w:sz w:val="20"/>
                <w:vertAlign w:val="subscript"/>
              </w:rPr>
              <w:t>1</w:t>
            </w:r>
            <w:r w:rsidR="00F75C3F" w:rsidRPr="00160D7F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0"/>
              </w:rPr>
              <w:t>ZVH UTB (hodnocení výuky prostřednictvím IS/STAG)</w:t>
            </w:r>
          </w:p>
        </w:tc>
      </w:tr>
      <w:tr w:rsidR="007136C3" w:rsidRPr="0058573E" w14:paraId="71DC8255" w14:textId="77777777" w:rsidTr="00691411">
        <w:trPr>
          <w:trHeight w:val="396"/>
        </w:trPr>
        <w:tc>
          <w:tcPr>
            <w:tcW w:w="3954" w:type="dxa"/>
          </w:tcPr>
          <w:p w14:paraId="795DF5E5" w14:textId="0CF025A4" w:rsidR="007136C3" w:rsidRDefault="007136C3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Rok</w:t>
            </w:r>
            <w:r w:rsidR="00BB1C65">
              <w:rPr>
                <w:rFonts w:ascii="Arial" w:hAnsi="Arial" w:cs="Arial"/>
                <w:sz w:val="20"/>
              </w:rPr>
              <w:t>/roky</w:t>
            </w:r>
            <w:r>
              <w:rPr>
                <w:rFonts w:ascii="Arial" w:hAnsi="Arial" w:cs="Arial"/>
                <w:sz w:val="20"/>
              </w:rPr>
              <w:t xml:space="preserve"> realizace</w:t>
            </w:r>
          </w:p>
        </w:tc>
        <w:tc>
          <w:tcPr>
            <w:tcW w:w="5088" w:type="dxa"/>
          </w:tcPr>
          <w:p w14:paraId="24AF3DA4" w14:textId="7B7639AC" w:rsidR="007136C3" w:rsidRPr="0058573E" w:rsidRDefault="00DA3374" w:rsidP="00A23A5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ZS akademického roku 2023/2024.</w:t>
            </w:r>
          </w:p>
        </w:tc>
      </w:tr>
      <w:tr w:rsidR="00FB6FA2" w:rsidRPr="0058573E" w14:paraId="3F57383E" w14:textId="77777777" w:rsidTr="00691411">
        <w:trPr>
          <w:trHeight w:val="396"/>
        </w:trPr>
        <w:tc>
          <w:tcPr>
            <w:tcW w:w="3954" w:type="dxa"/>
          </w:tcPr>
          <w:p w14:paraId="10158283" w14:textId="243C82DB" w:rsidR="00FB6FA2" w:rsidRDefault="00FB6FA2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hodnocení</w:t>
            </w:r>
          </w:p>
          <w:p w14:paraId="62739DE3" w14:textId="7D8282B9" w:rsidR="00FB6FA2" w:rsidRDefault="00FB6FA2" w:rsidP="00087AC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="00087ACC">
              <w:rPr>
                <w:rFonts w:ascii="Arial" w:hAnsi="Arial" w:cs="Arial"/>
                <w:i/>
                <w:sz w:val="16"/>
                <w:szCs w:val="16"/>
              </w:rPr>
              <w:t>výsledky hodnocení studijních předmětů náležejících k hodnocenému studijnímu programu)</w:t>
            </w:r>
          </w:p>
        </w:tc>
        <w:tc>
          <w:tcPr>
            <w:tcW w:w="5088" w:type="dxa"/>
          </w:tcPr>
          <w:p w14:paraId="087D05E1" w14:textId="713E8458" w:rsidR="00FB6FA2" w:rsidRPr="0058573E" w:rsidRDefault="00DA3374" w:rsidP="00A23A5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Hodnocení kvality výuky </w:t>
            </w:r>
            <w:r w:rsidRPr="00DA3374">
              <w:rPr>
                <w:rFonts w:ascii="Arial" w:hAnsi="Arial" w:cs="Arial"/>
                <w:sz w:val="20"/>
              </w:rPr>
              <w:t>v</w:t>
            </w:r>
            <w:r w:rsidR="00A23A57">
              <w:rPr>
                <w:rFonts w:ascii="Arial" w:hAnsi="Arial" w:cs="Arial"/>
                <w:sz w:val="20"/>
              </w:rPr>
              <w:t> </w:t>
            </w:r>
            <w:r w:rsidRPr="00DA3374">
              <w:rPr>
                <w:rFonts w:ascii="Arial" w:hAnsi="Arial" w:cs="Arial"/>
                <w:sz w:val="20"/>
              </w:rPr>
              <w:t>jednotlivých</w:t>
            </w:r>
            <w:r w:rsidR="00A23A57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studijních předmětech</w:t>
            </w:r>
            <w:r w:rsidR="00A23A57">
              <w:rPr>
                <w:rFonts w:ascii="Arial" w:hAnsi="Arial" w:cs="Arial"/>
                <w:sz w:val="20"/>
              </w:rPr>
              <w:t xml:space="preserve"> skrze jednotný dotazník </w:t>
            </w:r>
            <w:r w:rsidRPr="00DA3374">
              <w:rPr>
                <w:rFonts w:ascii="Arial" w:hAnsi="Arial" w:cs="Arial"/>
                <w:sz w:val="20"/>
              </w:rPr>
              <w:t>v IS/STAG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AB6677" w:rsidRPr="0058573E" w14:paraId="145A6919" w14:textId="77777777" w:rsidTr="00691411">
        <w:trPr>
          <w:trHeight w:val="401"/>
        </w:trPr>
        <w:tc>
          <w:tcPr>
            <w:tcW w:w="3954" w:type="dxa"/>
          </w:tcPr>
          <w:p w14:paraId="56D34F1A" w14:textId="77777777" w:rsidR="00AB6677" w:rsidRDefault="007136C3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Cílová skupina</w:t>
            </w:r>
          </w:p>
          <w:p w14:paraId="15D90BC9" w14:textId="5FDA10FD" w:rsidR="00E8550E" w:rsidRPr="0058573E" w:rsidRDefault="00E8550E" w:rsidP="00E8550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všichni studenti</w:t>
            </w:r>
            <w:r w:rsidR="00D9799E">
              <w:rPr>
                <w:rFonts w:ascii="Arial" w:hAnsi="Arial" w:cs="Arial"/>
                <w:i/>
                <w:sz w:val="16"/>
                <w:szCs w:val="16"/>
              </w:rPr>
              <w:t xml:space="preserve"> daného SP</w:t>
            </w:r>
            <w:r>
              <w:rPr>
                <w:rFonts w:ascii="Arial" w:hAnsi="Arial" w:cs="Arial"/>
                <w:i/>
                <w:sz w:val="16"/>
                <w:szCs w:val="16"/>
              </w:rPr>
              <w:t>, studenti v kombinované formě studia, studenti v určitém roce studia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5088" w:type="dxa"/>
          </w:tcPr>
          <w:p w14:paraId="22C5ABBE" w14:textId="74933128" w:rsidR="00AB6677" w:rsidRPr="0058573E" w:rsidRDefault="00DA3374" w:rsidP="00A23A5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Studenti prezenční a kombinované formy studijního programu Sociální pedagogika v bakalářském stupni.</w:t>
            </w:r>
          </w:p>
        </w:tc>
      </w:tr>
      <w:tr w:rsidR="00AB6677" w:rsidRPr="0058573E" w14:paraId="759CB72F" w14:textId="77777777" w:rsidTr="00691411">
        <w:trPr>
          <w:trHeight w:val="394"/>
        </w:trPr>
        <w:tc>
          <w:tcPr>
            <w:tcW w:w="3954" w:type="dxa"/>
          </w:tcPr>
          <w:p w14:paraId="5AC22FFF" w14:textId="77777777" w:rsidR="00AB6677" w:rsidRDefault="007136C3" w:rsidP="00E8550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Způsob sběru dat</w:t>
            </w:r>
          </w:p>
          <w:p w14:paraId="56F3A742" w14:textId="66B81E3B" w:rsidR="00E8550E" w:rsidRPr="00E8550E" w:rsidRDefault="00E8550E" w:rsidP="00E8550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E8550E">
              <w:rPr>
                <w:rFonts w:ascii="Arial" w:hAnsi="Arial" w:cs="Arial"/>
                <w:i/>
                <w:sz w:val="16"/>
                <w:szCs w:val="16"/>
              </w:rPr>
              <w:t>(elektronická nebo listinná podoba)</w:t>
            </w:r>
          </w:p>
        </w:tc>
        <w:tc>
          <w:tcPr>
            <w:tcW w:w="5088" w:type="dxa"/>
          </w:tcPr>
          <w:p w14:paraId="6B7EAC16" w14:textId="14729B25" w:rsidR="00AB6677" w:rsidRPr="0058573E" w:rsidRDefault="00DA3374" w:rsidP="00A23A5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Modul hodnocení výuky prostřednictvím systému IS/STAG.</w:t>
            </w:r>
          </w:p>
        </w:tc>
      </w:tr>
      <w:tr w:rsidR="00AB6677" w:rsidRPr="0058573E" w14:paraId="7C98C106" w14:textId="77777777" w:rsidTr="00691411">
        <w:trPr>
          <w:trHeight w:val="50"/>
        </w:trPr>
        <w:tc>
          <w:tcPr>
            <w:tcW w:w="3954" w:type="dxa"/>
          </w:tcPr>
          <w:p w14:paraId="7620C0A3" w14:textId="77777777" w:rsidR="00AB6677" w:rsidRDefault="007136C3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Frekvence sběru dat</w:t>
            </w:r>
          </w:p>
          <w:p w14:paraId="43EA6687" w14:textId="43D8ED5F" w:rsidR="00410254" w:rsidRPr="00410254" w:rsidRDefault="00410254" w:rsidP="0041025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(jednou za semestr, jednou za akademický rok, jednorázový sběr aj.) </w:t>
            </w:r>
          </w:p>
        </w:tc>
        <w:tc>
          <w:tcPr>
            <w:tcW w:w="5088" w:type="dxa"/>
          </w:tcPr>
          <w:p w14:paraId="182C7532" w14:textId="01652759" w:rsidR="00AB6677" w:rsidRPr="0058573E" w:rsidRDefault="00DA3374" w:rsidP="00A23A5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x za semestr.</w:t>
            </w:r>
          </w:p>
        </w:tc>
      </w:tr>
      <w:tr w:rsidR="007136C3" w:rsidRPr="0058573E" w14:paraId="46969D7E" w14:textId="77777777" w:rsidTr="00691411">
        <w:trPr>
          <w:trHeight w:val="50"/>
        </w:trPr>
        <w:tc>
          <w:tcPr>
            <w:tcW w:w="3954" w:type="dxa"/>
          </w:tcPr>
          <w:p w14:paraId="49EBE3F0" w14:textId="53D438F8" w:rsidR="007136C3" w:rsidRPr="0058573E" w:rsidRDefault="007136C3" w:rsidP="001D597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Návratnost</w:t>
            </w:r>
            <w:r w:rsidR="001D597A">
              <w:rPr>
                <w:rFonts w:ascii="Arial" w:hAnsi="Arial" w:cs="Arial"/>
                <w:sz w:val="20"/>
              </w:rPr>
              <w:t xml:space="preserve"> dotazníků</w:t>
            </w:r>
          </w:p>
        </w:tc>
        <w:tc>
          <w:tcPr>
            <w:tcW w:w="5088" w:type="dxa"/>
          </w:tcPr>
          <w:p w14:paraId="79943A89" w14:textId="48FA6A94" w:rsidR="007136C3" w:rsidRPr="0058573E" w:rsidRDefault="006C7934" w:rsidP="002C3DE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41 %</w:t>
            </w:r>
          </w:p>
        </w:tc>
      </w:tr>
      <w:tr w:rsidR="0012127F" w:rsidRPr="0058573E" w14:paraId="6FE47865" w14:textId="77777777" w:rsidTr="00691411">
        <w:trPr>
          <w:trHeight w:val="50"/>
        </w:trPr>
        <w:tc>
          <w:tcPr>
            <w:tcW w:w="9042" w:type="dxa"/>
            <w:gridSpan w:val="2"/>
          </w:tcPr>
          <w:p w14:paraId="43FA3902" w14:textId="790636B9" w:rsidR="009A5A6E" w:rsidRPr="0046767D" w:rsidRDefault="009A5A6E" w:rsidP="009A5A6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6767D">
              <w:rPr>
                <w:rFonts w:ascii="Arial" w:hAnsi="Arial" w:cs="Arial"/>
                <w:b/>
                <w:sz w:val="20"/>
              </w:rPr>
              <w:t xml:space="preserve">Dostupnost výsledků </w:t>
            </w:r>
            <w:r w:rsidR="002E6BFA" w:rsidRPr="0046767D">
              <w:rPr>
                <w:rFonts w:ascii="Arial" w:hAnsi="Arial" w:cs="Arial"/>
                <w:b/>
                <w:sz w:val="20"/>
              </w:rPr>
              <w:t xml:space="preserve">hodnocení </w:t>
            </w:r>
            <w:r w:rsidRPr="0046767D">
              <w:rPr>
                <w:rFonts w:ascii="Arial" w:hAnsi="Arial" w:cs="Arial"/>
                <w:b/>
                <w:sz w:val="20"/>
              </w:rPr>
              <w:t>pro studenty</w:t>
            </w:r>
            <w:r w:rsidR="002E6BFA" w:rsidRPr="0046767D">
              <w:rPr>
                <w:rFonts w:ascii="Arial" w:hAnsi="Arial" w:cs="Arial"/>
                <w:b/>
                <w:sz w:val="20"/>
              </w:rPr>
              <w:t xml:space="preserve"> a akademické pracovníky </w:t>
            </w:r>
          </w:p>
          <w:p w14:paraId="082433D0" w14:textId="7169E228" w:rsidR="0012127F" w:rsidRPr="0046767D" w:rsidRDefault="009A5A6E" w:rsidP="009A5A6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46767D">
              <w:rPr>
                <w:rFonts w:ascii="Arial" w:hAnsi="Arial" w:cs="Arial"/>
                <w:i/>
                <w:sz w:val="20"/>
              </w:rPr>
              <w:t>(</w:t>
            </w:r>
            <w:r w:rsidRPr="00E4296B">
              <w:rPr>
                <w:rFonts w:ascii="Arial" w:hAnsi="Arial" w:cs="Arial"/>
                <w:i/>
                <w:sz w:val="16"/>
                <w:szCs w:val="16"/>
              </w:rPr>
              <w:t>popis způsobu sdílení a prezentace výsledků)</w:t>
            </w:r>
          </w:p>
        </w:tc>
      </w:tr>
      <w:tr w:rsidR="005F35C8" w:rsidRPr="0058573E" w14:paraId="2FA4AB58" w14:textId="77777777" w:rsidTr="00691411">
        <w:trPr>
          <w:trHeight w:val="1595"/>
        </w:trPr>
        <w:tc>
          <w:tcPr>
            <w:tcW w:w="9042" w:type="dxa"/>
            <w:gridSpan w:val="2"/>
          </w:tcPr>
          <w:p w14:paraId="19614BD4" w14:textId="59795766" w:rsidR="00A23A57" w:rsidRPr="00236BBC" w:rsidRDefault="00275F2A" w:rsidP="00975433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  <w:r w:rsidRPr="00275F2A">
              <w:rPr>
                <w:rFonts w:ascii="Arial" w:hAnsi="Arial" w:cs="Arial"/>
                <w:sz w:val="20"/>
              </w:rPr>
              <w:t>Zpráva o výsledcích hodnocení kvality výuky na Fakultě hum</w:t>
            </w:r>
            <w:r>
              <w:rPr>
                <w:rFonts w:ascii="Arial" w:hAnsi="Arial" w:cs="Arial"/>
                <w:sz w:val="20"/>
              </w:rPr>
              <w:t>anitních studií UTB ve Zlíně. Z</w:t>
            </w:r>
            <w:r w:rsidR="0046767D" w:rsidRPr="0046767D">
              <w:rPr>
                <w:rFonts w:ascii="Arial" w:hAnsi="Arial" w:cs="Arial"/>
                <w:sz w:val="20"/>
              </w:rPr>
              <w:t xml:space="preserve">práva </w:t>
            </w:r>
            <w:r w:rsidR="00975433">
              <w:rPr>
                <w:rFonts w:ascii="Arial" w:hAnsi="Arial" w:cs="Arial"/>
                <w:sz w:val="20"/>
              </w:rPr>
              <w:br/>
            </w:r>
            <w:r w:rsidR="0046767D" w:rsidRPr="0046767D">
              <w:rPr>
                <w:rFonts w:ascii="Arial" w:hAnsi="Arial" w:cs="Arial"/>
                <w:sz w:val="20"/>
              </w:rPr>
              <w:t xml:space="preserve">o vnitřním hodnocení kvality vzdělávací, tvůrčí a s nimi souvisejících činností Univerzity Tomáše Bati ve Zlíně </w:t>
            </w:r>
            <w:r w:rsidR="000F6523">
              <w:rPr>
                <w:rFonts w:ascii="Arial" w:hAnsi="Arial" w:cs="Arial"/>
                <w:sz w:val="20"/>
              </w:rPr>
              <w:t xml:space="preserve">a její každoroční aktualizace v </w:t>
            </w:r>
            <w:r w:rsidR="00D7734D">
              <w:rPr>
                <w:rFonts w:ascii="Arial" w:hAnsi="Arial" w:cs="Arial"/>
                <w:sz w:val="20"/>
              </w:rPr>
              <w:t>Dodatcích.</w:t>
            </w:r>
            <w:r w:rsidR="00A23A57">
              <w:rPr>
                <w:rFonts w:ascii="Arial" w:hAnsi="Arial" w:cs="Arial"/>
                <w:sz w:val="20"/>
              </w:rPr>
              <w:t xml:space="preserve"> </w:t>
            </w:r>
            <w:r w:rsidR="00A23A57" w:rsidRPr="00236BBC">
              <w:rPr>
                <w:rFonts w:ascii="Arial" w:hAnsi="Arial" w:cs="Arial"/>
                <w:sz w:val="20"/>
              </w:rPr>
              <w:t xml:space="preserve">Výsledky jsou studentům </w:t>
            </w:r>
            <w:r w:rsidR="00A23A57">
              <w:rPr>
                <w:rFonts w:ascii="Arial" w:hAnsi="Arial" w:cs="Arial"/>
                <w:sz w:val="20"/>
              </w:rPr>
              <w:br/>
            </w:r>
            <w:r w:rsidR="00A23A57" w:rsidRPr="00236BBC">
              <w:rPr>
                <w:rFonts w:ascii="Arial" w:hAnsi="Arial" w:cs="Arial"/>
                <w:sz w:val="20"/>
              </w:rPr>
              <w:t>a akademickým pracovníkům</w:t>
            </w:r>
            <w:r w:rsidR="00A23A57">
              <w:rPr>
                <w:rFonts w:ascii="Arial" w:hAnsi="Arial" w:cs="Arial"/>
                <w:sz w:val="20"/>
              </w:rPr>
              <w:t xml:space="preserve"> také</w:t>
            </w:r>
            <w:r w:rsidR="00A23A57" w:rsidRPr="00236BBC">
              <w:rPr>
                <w:rFonts w:ascii="Arial" w:hAnsi="Arial" w:cs="Arial"/>
                <w:sz w:val="20"/>
              </w:rPr>
              <w:t xml:space="preserve"> přístupné v IS/STAG.</w:t>
            </w:r>
          </w:p>
          <w:p w14:paraId="2C576404" w14:textId="501BB048" w:rsidR="005802F2" w:rsidRPr="0046767D" w:rsidRDefault="005802F2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5F35C8" w:rsidRPr="0058573E" w14:paraId="7D790370" w14:textId="77777777" w:rsidTr="00691411">
        <w:trPr>
          <w:trHeight w:val="50"/>
        </w:trPr>
        <w:tc>
          <w:tcPr>
            <w:tcW w:w="9042" w:type="dxa"/>
            <w:gridSpan w:val="2"/>
          </w:tcPr>
          <w:p w14:paraId="3D0B7731" w14:textId="77777777" w:rsidR="00EC0854" w:rsidRPr="0043058D" w:rsidRDefault="00047DA7" w:rsidP="002E6BF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Procedura projednávání výsledků</w:t>
            </w:r>
            <w:r w:rsidR="00B52CC4" w:rsidRPr="0043058D"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4266D152" w14:textId="7BE874BB" w:rsidR="002E6BFA" w:rsidRPr="00EC0854" w:rsidRDefault="002E6BFA" w:rsidP="002E6BF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5F35C8" w:rsidRPr="0058573E" w14:paraId="77DFABAD" w14:textId="77777777" w:rsidTr="00691411">
        <w:trPr>
          <w:trHeight w:val="1682"/>
        </w:trPr>
        <w:tc>
          <w:tcPr>
            <w:tcW w:w="9042" w:type="dxa"/>
            <w:gridSpan w:val="2"/>
          </w:tcPr>
          <w:p w14:paraId="2685D8EC" w14:textId="2E5602CF" w:rsidR="00595A2D" w:rsidRPr="00E2144C" w:rsidRDefault="00DA3374" w:rsidP="00975433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Výsledky studentského hodnocení kvality výuky jsou po každém cyklu hodnocení (tj. po skončení každého semestru) projednávány na poradách Ústavu pedagogických věd</w:t>
            </w:r>
            <w:r w:rsidR="00741C78">
              <w:rPr>
                <w:rFonts w:ascii="Arial" w:hAnsi="Arial" w:cs="Arial"/>
                <w:sz w:val="20"/>
              </w:rPr>
              <w:t xml:space="preserve"> (realizuje studijní program) a při osobních pohovorech s</w:t>
            </w:r>
            <w:r>
              <w:rPr>
                <w:rFonts w:ascii="Arial" w:hAnsi="Arial" w:cs="Arial"/>
                <w:sz w:val="20"/>
              </w:rPr>
              <w:t xml:space="preserve"> akademickými pracovníky.</w:t>
            </w:r>
          </w:p>
        </w:tc>
      </w:tr>
      <w:tr w:rsidR="005802F2" w:rsidRPr="0058573E" w14:paraId="7E35B65E" w14:textId="77777777" w:rsidTr="00691411">
        <w:trPr>
          <w:trHeight w:val="50"/>
        </w:trPr>
        <w:tc>
          <w:tcPr>
            <w:tcW w:w="9042" w:type="dxa"/>
            <w:gridSpan w:val="2"/>
          </w:tcPr>
          <w:p w14:paraId="71DBA44D" w14:textId="75FB1071" w:rsidR="005802F2" w:rsidRPr="0043058D" w:rsidRDefault="00EC0854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Z</w:t>
            </w:r>
            <w:r w:rsidR="005802F2" w:rsidRPr="0043058D">
              <w:rPr>
                <w:rFonts w:ascii="Arial" w:hAnsi="Arial" w:cs="Arial"/>
                <w:b/>
                <w:sz w:val="20"/>
              </w:rPr>
              <w:t>ohlednění výsledků ve vzdělávací činnosti</w:t>
            </w:r>
          </w:p>
          <w:p w14:paraId="123B0B85" w14:textId="4CC47E7C" w:rsidR="005802F2" w:rsidRPr="00AC4575" w:rsidRDefault="005802F2" w:rsidP="00880052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880052"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="00EC0854"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5802F2" w:rsidRPr="0058573E" w14:paraId="5DEF8BE6" w14:textId="77777777" w:rsidTr="00691411">
        <w:trPr>
          <w:trHeight w:val="1686"/>
        </w:trPr>
        <w:tc>
          <w:tcPr>
            <w:tcW w:w="9042" w:type="dxa"/>
            <w:gridSpan w:val="2"/>
          </w:tcPr>
          <w:p w14:paraId="0CCADF92" w14:textId="20A80084" w:rsidR="005802F2" w:rsidRPr="0058573E" w:rsidRDefault="00A23A57" w:rsidP="00144A0B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Průměrné hodnocení bylo 4,37 (1 = min. kladné hodnocení a 5 = max. kladné hodnocení). Z</w:t>
            </w:r>
            <w:r w:rsidR="002B2669">
              <w:rPr>
                <w:rFonts w:ascii="Arial" w:hAnsi="Arial" w:cs="Arial"/>
                <w:sz w:val="20"/>
              </w:rPr>
              <w:t>e</w:t>
            </w:r>
            <w:r>
              <w:rPr>
                <w:rFonts w:ascii="Arial" w:hAnsi="Arial" w:cs="Arial"/>
                <w:sz w:val="20"/>
              </w:rPr>
              <w:t xml:space="preserve"> slovních hodnocení vyplývá, že studenti kladně hodnotí zejm. </w:t>
            </w:r>
            <w:r w:rsidR="002B2669">
              <w:rPr>
                <w:rFonts w:ascii="Arial" w:hAnsi="Arial" w:cs="Arial"/>
                <w:sz w:val="20"/>
              </w:rPr>
              <w:t xml:space="preserve">otevřený přístup v komunikaci vyučujících se studenty, erudovanost vyučujících a přínos výuky s ohledem na uplatnění v praxi. Nedostatky, kterých zaznamenáváme malé množství, se u některých vyučujících týkají didaktického zpracování obsahu učiva, zejm. nesrozumitelnost cílů výuky a výkladu, ne zcela otevřeného </w:t>
            </w:r>
            <w:r w:rsidR="00975433">
              <w:rPr>
                <w:rFonts w:ascii="Arial" w:hAnsi="Arial" w:cs="Arial"/>
                <w:sz w:val="20"/>
              </w:rPr>
              <w:br/>
            </w:r>
            <w:r w:rsidR="002B2669">
              <w:rPr>
                <w:rFonts w:ascii="Arial" w:hAnsi="Arial" w:cs="Arial"/>
                <w:sz w:val="20"/>
              </w:rPr>
              <w:t>a pozitivního způsob</w:t>
            </w:r>
            <w:r w:rsidR="00883AAF">
              <w:rPr>
                <w:rFonts w:ascii="Arial" w:hAnsi="Arial" w:cs="Arial"/>
                <w:sz w:val="20"/>
              </w:rPr>
              <w:t>u</w:t>
            </w:r>
            <w:r w:rsidR="002B2669">
              <w:rPr>
                <w:rFonts w:ascii="Arial" w:hAnsi="Arial" w:cs="Arial"/>
                <w:sz w:val="20"/>
              </w:rPr>
              <w:t xml:space="preserve"> komunikace se studenty. Relevantní výtky a připomínky studentů jsou diskutovány s jednotlivými vyučujícími při pracovním pohovoru s ředitelem ústavu a při setkáních s </w:t>
            </w:r>
            <w:proofErr w:type="spellStart"/>
            <w:r w:rsidR="002B2669">
              <w:rPr>
                <w:rFonts w:ascii="Arial" w:hAnsi="Arial" w:cs="Arial"/>
                <w:sz w:val="20"/>
              </w:rPr>
              <w:t>garantkou</w:t>
            </w:r>
            <w:proofErr w:type="spellEnd"/>
            <w:r w:rsidR="002B2669">
              <w:rPr>
                <w:rFonts w:ascii="Arial" w:hAnsi="Arial" w:cs="Arial"/>
                <w:sz w:val="20"/>
              </w:rPr>
              <w:t xml:space="preserve"> studijního programu. Pro</w:t>
            </w:r>
            <w:r w:rsidR="00144A0B">
              <w:rPr>
                <w:rFonts w:ascii="Arial" w:hAnsi="Arial" w:cs="Arial"/>
                <w:sz w:val="20"/>
              </w:rPr>
              <w:t xml:space="preserve"> získání komplexnějšího obrazu </w:t>
            </w:r>
            <w:r w:rsidR="002B2669">
              <w:rPr>
                <w:rFonts w:ascii="Arial" w:hAnsi="Arial" w:cs="Arial"/>
                <w:sz w:val="20"/>
              </w:rPr>
              <w:t>o způsobu výuky akademickými pracovníky</w:t>
            </w:r>
            <w:r w:rsidR="00097E19">
              <w:rPr>
                <w:rFonts w:ascii="Arial" w:hAnsi="Arial" w:cs="Arial"/>
                <w:sz w:val="20"/>
              </w:rPr>
              <w:t xml:space="preserve"> a poskytnutí kvalitní zpětné vazby</w:t>
            </w:r>
            <w:r w:rsidR="002B2669">
              <w:rPr>
                <w:rFonts w:ascii="Arial" w:hAnsi="Arial" w:cs="Arial"/>
                <w:sz w:val="20"/>
              </w:rPr>
              <w:t xml:space="preserve"> jsou prováděny hospitace. </w:t>
            </w:r>
          </w:p>
        </w:tc>
      </w:tr>
    </w:tbl>
    <w:p w14:paraId="76BA3109" w14:textId="77777777" w:rsidR="0046767D" w:rsidRDefault="00F77FB3" w:rsidP="00EF32E8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>Poznámka: Pro každý další typ hodnocení (typ 2 atd.) se vkládá nová tabulk</w:t>
      </w:r>
      <w:r w:rsidR="001A098F" w:rsidRPr="00584C31">
        <w:rPr>
          <w:rFonts w:ascii="Arial" w:hAnsi="Arial" w:cs="Arial"/>
          <w:sz w:val="16"/>
          <w:szCs w:val="16"/>
        </w:rPr>
        <w:t>a</w:t>
      </w:r>
      <w:r w:rsidRPr="00584C31">
        <w:rPr>
          <w:rFonts w:ascii="Arial" w:hAnsi="Arial" w:cs="Arial"/>
          <w:sz w:val="16"/>
          <w:szCs w:val="16"/>
        </w:rPr>
        <w:t>.</w:t>
      </w:r>
    </w:p>
    <w:p w14:paraId="0A10FEBB" w14:textId="43D98F18" w:rsidR="0046767D" w:rsidRDefault="0046767D" w:rsidP="0046767D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C</w:t>
      </w:r>
      <w:r>
        <w:rPr>
          <w:sz w:val="16"/>
          <w:szCs w:val="16"/>
          <w:vertAlign w:val="subscript"/>
        </w:rPr>
        <w:t>1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2902D001" w14:textId="1EFD4E86" w:rsidR="00F77FB3" w:rsidRPr="00584C31" w:rsidRDefault="00F77FB3" w:rsidP="00EF32E8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 xml:space="preserve">    </w:t>
      </w:r>
    </w:p>
    <w:p w14:paraId="0778DC20" w14:textId="77777777" w:rsidR="006C5ED8" w:rsidRDefault="006C5ED8" w:rsidP="006C5ED8">
      <w:pPr>
        <w:ind w:right="454"/>
        <w:rPr>
          <w:rFonts w:cs="Arial"/>
          <w:b/>
          <w:color w:val="7030A0"/>
          <w:sz w:val="24"/>
          <w:szCs w:val="24"/>
        </w:rPr>
      </w:pPr>
    </w:p>
    <w:p w14:paraId="68662CCA" w14:textId="76C09720" w:rsidR="004E7679" w:rsidRPr="0080430D" w:rsidRDefault="00691411" w:rsidP="0080430D">
      <w:pPr>
        <w:spacing w:after="160" w:line="259" w:lineRule="auto"/>
        <w:rPr>
          <w:rFonts w:cs="Arial"/>
          <w:b/>
          <w:color w:val="7030A0"/>
        </w:rPr>
      </w:pPr>
      <w:r>
        <w:rPr>
          <w:rFonts w:cs="Arial"/>
          <w:b/>
          <w:color w:val="7030A0"/>
        </w:rPr>
        <w:br w:type="page"/>
      </w:r>
      <w:r w:rsidR="004E7679">
        <w:rPr>
          <w:rFonts w:cs="Arial"/>
          <w:b/>
          <w:color w:val="C45911" w:themeColor="accent2" w:themeShade="BF"/>
          <w:sz w:val="24"/>
          <w:szCs w:val="24"/>
        </w:rPr>
        <w:lastRenderedPageBreak/>
        <w:t>2</w:t>
      </w:r>
      <w:r w:rsidR="00087ACC">
        <w:rPr>
          <w:rFonts w:cs="Arial"/>
          <w:b/>
          <w:color w:val="C45911" w:themeColor="accent2" w:themeShade="BF"/>
          <w:sz w:val="24"/>
          <w:szCs w:val="24"/>
        </w:rPr>
        <w:t>b</w:t>
      </w:r>
      <w:r w:rsidR="004E7679">
        <w:rPr>
          <w:rFonts w:cs="Arial"/>
          <w:b/>
          <w:color w:val="C45911" w:themeColor="accent2" w:themeShade="BF"/>
          <w:sz w:val="24"/>
          <w:szCs w:val="24"/>
        </w:rPr>
        <w:t>) Hodnocení studia</w:t>
      </w:r>
      <w:r w:rsidR="004E7679" w:rsidRPr="00691411">
        <w:rPr>
          <w:rFonts w:cs="Arial"/>
          <w:b/>
          <w:color w:val="C45911" w:themeColor="accent2" w:themeShade="BF"/>
          <w:sz w:val="24"/>
          <w:szCs w:val="24"/>
        </w:rPr>
        <w:t xml:space="preserve"> ve studijním programu studenty</w:t>
      </w:r>
    </w:p>
    <w:p w14:paraId="595AE2C4" w14:textId="77777777" w:rsidR="006C5ED8" w:rsidRPr="006965DC" w:rsidRDefault="006C5ED8" w:rsidP="006C5ED8">
      <w:pPr>
        <w:ind w:right="454"/>
        <w:rPr>
          <w:rFonts w:cs="Arial"/>
          <w:b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38"/>
        <w:gridCol w:w="4802"/>
      </w:tblGrid>
      <w:tr w:rsidR="006C5ED8" w:rsidRPr="00E907FB" w14:paraId="1D5B5B4F" w14:textId="77777777" w:rsidTr="00160D7F">
        <w:trPr>
          <w:trHeight w:val="376"/>
        </w:trPr>
        <w:tc>
          <w:tcPr>
            <w:tcW w:w="9040" w:type="dxa"/>
            <w:gridSpan w:val="2"/>
            <w:shd w:val="clear" w:color="auto" w:fill="F7CAAC" w:themeFill="accent2" w:themeFillTint="66"/>
          </w:tcPr>
          <w:p w14:paraId="0EBA54FE" w14:textId="58BC2EF9" w:rsidR="006C5ED8" w:rsidRPr="00E907FB" w:rsidRDefault="00F75C3F" w:rsidP="00087AC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 xml:space="preserve">Studentské hodnocení – Fakultní hodnocení ze strany studentů v rámci </w:t>
            </w:r>
            <w:r w:rsidR="00087ACC">
              <w:rPr>
                <w:rFonts w:ascii="Arial" w:hAnsi="Arial" w:cs="Arial"/>
                <w:b/>
                <w:color w:val="000000" w:themeColor="text1"/>
                <w:sz w:val="20"/>
              </w:rPr>
              <w:t>v rámci indikátoru C</w:t>
            </w:r>
            <w:r w:rsidR="00087ACC">
              <w:rPr>
                <w:rFonts w:ascii="Arial" w:hAnsi="Arial" w:cs="Arial"/>
                <w:b/>
                <w:color w:val="000000" w:themeColor="text1"/>
                <w:sz w:val="20"/>
                <w:vertAlign w:val="subscript"/>
              </w:rPr>
              <w:t>2</w:t>
            </w:r>
            <w:r w:rsidR="00087ACC" w:rsidRPr="00160D7F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</w:t>
            </w:r>
            <w:r w:rsidR="00087ACC">
              <w:rPr>
                <w:rFonts w:ascii="Arial" w:hAnsi="Arial" w:cs="Arial"/>
                <w:b/>
                <w:color w:val="000000" w:themeColor="text1"/>
                <w:sz w:val="20"/>
              </w:rPr>
              <w:t>ZVH UTB (hodnocení kvality studia v jednotlivých studijních programech)</w:t>
            </w:r>
          </w:p>
        </w:tc>
      </w:tr>
      <w:tr w:rsidR="006C5ED8" w:rsidRPr="0058573E" w14:paraId="39116746" w14:textId="77777777" w:rsidTr="00F75C3F">
        <w:trPr>
          <w:trHeight w:val="396"/>
        </w:trPr>
        <w:tc>
          <w:tcPr>
            <w:tcW w:w="4238" w:type="dxa"/>
          </w:tcPr>
          <w:p w14:paraId="62F0D0A2" w14:textId="77777777" w:rsidR="006C5ED8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Rok/roky realizace</w:t>
            </w:r>
          </w:p>
          <w:p w14:paraId="54CAA0AB" w14:textId="3DDA31DB" w:rsidR="006B4318" w:rsidRDefault="006B4318" w:rsidP="003403F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6B4318">
              <w:rPr>
                <w:rFonts w:ascii="Arial" w:hAnsi="Arial" w:cs="Arial"/>
                <w:i/>
                <w:sz w:val="20"/>
              </w:rPr>
              <w:t>(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v </w:t>
            </w:r>
            <w:r w:rsidR="003403F1">
              <w:rPr>
                <w:rFonts w:ascii="Arial" w:hAnsi="Arial" w:cs="Arial"/>
                <w:i/>
                <w:sz w:val="16"/>
                <w:szCs w:val="16"/>
              </w:rPr>
              <w:t>období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RRRR-3 až RRRR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4802" w:type="dxa"/>
          </w:tcPr>
          <w:p w14:paraId="7C829815" w14:textId="7BB8EE76" w:rsidR="006C5ED8" w:rsidRPr="00144A0B" w:rsidRDefault="00351142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  <w:szCs w:val="18"/>
              </w:rPr>
            </w:pPr>
            <w:r w:rsidRPr="00144A0B">
              <w:rPr>
                <w:rFonts w:ascii="Arial" w:hAnsi="Arial" w:cs="Arial"/>
                <w:sz w:val="20"/>
                <w:szCs w:val="18"/>
              </w:rPr>
              <w:t>Rok 2024.</w:t>
            </w:r>
          </w:p>
        </w:tc>
      </w:tr>
      <w:tr w:rsidR="00CE783C" w:rsidRPr="0058573E" w14:paraId="0CE4FFB2" w14:textId="77777777" w:rsidTr="00F75C3F">
        <w:trPr>
          <w:trHeight w:val="396"/>
        </w:trPr>
        <w:tc>
          <w:tcPr>
            <w:tcW w:w="4238" w:type="dxa"/>
          </w:tcPr>
          <w:p w14:paraId="425C0D5E" w14:textId="77777777" w:rsidR="00CE783C" w:rsidRDefault="00CE783C" w:rsidP="00CE783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hodnocení</w:t>
            </w:r>
          </w:p>
          <w:p w14:paraId="16746CF8" w14:textId="437DD45E" w:rsidR="00CE783C" w:rsidRDefault="00CE783C" w:rsidP="00CE783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studijní plány, celková spokojenost se studijním programem, infrastruktura, služby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0B851E38" w14:textId="0BF623D0" w:rsidR="00CE783C" w:rsidRPr="00144A0B" w:rsidRDefault="00CE783C" w:rsidP="00351142">
            <w:pPr>
              <w:jc w:val="both"/>
              <w:rPr>
                <w:rFonts w:cs="Arial"/>
                <w:szCs w:val="18"/>
              </w:rPr>
            </w:pPr>
            <w:r w:rsidRPr="00144A0B">
              <w:rPr>
                <w:rFonts w:cs="Arial"/>
                <w:szCs w:val="18"/>
              </w:rPr>
              <w:t>Celkové hodnocení kvality studijního prostředí, které zahrnuje oblasti</w:t>
            </w:r>
            <w:r w:rsidR="00351142" w:rsidRPr="00144A0B">
              <w:rPr>
                <w:rFonts w:cs="Arial"/>
                <w:szCs w:val="18"/>
              </w:rPr>
              <w:t>:</w:t>
            </w:r>
            <w:r w:rsidRPr="00144A0B">
              <w:rPr>
                <w:rFonts w:cs="Arial"/>
                <w:szCs w:val="18"/>
              </w:rPr>
              <w:t xml:space="preserve"> (1) vzdělávání a podpora studentů, (2) studijní prostředí, (3) participace studentů, (4) stimulace </w:t>
            </w:r>
            <w:r w:rsidR="00351142" w:rsidRPr="00144A0B">
              <w:rPr>
                <w:rFonts w:cs="Arial"/>
                <w:szCs w:val="18"/>
              </w:rPr>
              <w:t xml:space="preserve">a soudržnost, (5) čas věnovaný studiu, (6) relevance pro trh práce, (7) </w:t>
            </w:r>
            <w:proofErr w:type="spellStart"/>
            <w:r w:rsidR="00351142" w:rsidRPr="00144A0B">
              <w:rPr>
                <w:rFonts w:cs="Arial"/>
                <w:szCs w:val="18"/>
              </w:rPr>
              <w:t>mobilitní</w:t>
            </w:r>
            <w:proofErr w:type="spellEnd"/>
            <w:r w:rsidR="00351142" w:rsidRPr="00144A0B">
              <w:rPr>
                <w:rFonts w:cs="Arial"/>
                <w:szCs w:val="18"/>
              </w:rPr>
              <w:t xml:space="preserve"> příležitosti, (8</w:t>
            </w:r>
            <w:r w:rsidRPr="00144A0B">
              <w:rPr>
                <w:rFonts w:cs="Arial"/>
                <w:szCs w:val="18"/>
              </w:rPr>
              <w:t>) hodnocení</w:t>
            </w:r>
            <w:r w:rsidR="00351142" w:rsidRPr="00144A0B">
              <w:rPr>
                <w:rFonts w:cs="Arial"/>
                <w:szCs w:val="18"/>
              </w:rPr>
              <w:t xml:space="preserve"> studijních výsledků, (9) výsledky učení, (10</w:t>
            </w:r>
            <w:r w:rsidRPr="00144A0B">
              <w:rPr>
                <w:rFonts w:cs="Arial"/>
                <w:szCs w:val="18"/>
              </w:rPr>
              <w:t>) očekávání, spokojenost a motivace.</w:t>
            </w:r>
          </w:p>
        </w:tc>
      </w:tr>
      <w:tr w:rsidR="00CE783C" w:rsidRPr="0058573E" w14:paraId="17D8ED4B" w14:textId="77777777" w:rsidTr="00F75C3F">
        <w:trPr>
          <w:trHeight w:val="401"/>
        </w:trPr>
        <w:tc>
          <w:tcPr>
            <w:tcW w:w="4238" w:type="dxa"/>
          </w:tcPr>
          <w:p w14:paraId="6BB3B5D4" w14:textId="77777777" w:rsidR="00CE783C" w:rsidRDefault="00CE783C" w:rsidP="00CE783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Cílová skupina</w:t>
            </w:r>
          </w:p>
          <w:p w14:paraId="68537834" w14:textId="22449747" w:rsidR="00CE783C" w:rsidRPr="0058573E" w:rsidRDefault="00CE783C" w:rsidP="00CE783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všichni studenti daného SP, studenti v prezenční formě studia, studenti druhého ročníku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65375C33" w14:textId="0FA6420F" w:rsidR="00CE783C" w:rsidRPr="00144A0B" w:rsidRDefault="00883AAF" w:rsidP="00351142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S</w:t>
            </w:r>
            <w:r w:rsidRPr="00883AAF">
              <w:rPr>
                <w:rFonts w:ascii="Arial" w:hAnsi="Arial" w:cs="Arial"/>
                <w:sz w:val="20"/>
                <w:szCs w:val="18"/>
              </w:rPr>
              <w:t>tudenti předposledních a posledních ročníků bakalářského studia, prvního a druhého ročníku nav</w:t>
            </w:r>
            <w:r>
              <w:rPr>
                <w:rFonts w:ascii="Arial" w:hAnsi="Arial" w:cs="Arial"/>
                <w:sz w:val="20"/>
                <w:szCs w:val="18"/>
              </w:rPr>
              <w:t>azujícího magisterského studia.</w:t>
            </w:r>
            <w:r w:rsidRPr="00883AAF">
              <w:rPr>
                <w:rFonts w:ascii="Arial" w:hAnsi="Arial" w:cs="Arial"/>
                <w:sz w:val="20"/>
                <w:szCs w:val="18"/>
              </w:rPr>
              <w:t xml:space="preserve"> </w:t>
            </w:r>
          </w:p>
        </w:tc>
      </w:tr>
      <w:tr w:rsidR="00CE783C" w:rsidRPr="0058573E" w14:paraId="2BF846D5" w14:textId="77777777" w:rsidTr="00F75C3F">
        <w:trPr>
          <w:trHeight w:val="394"/>
        </w:trPr>
        <w:tc>
          <w:tcPr>
            <w:tcW w:w="4238" w:type="dxa"/>
          </w:tcPr>
          <w:p w14:paraId="781404C6" w14:textId="77777777" w:rsidR="00CE783C" w:rsidRDefault="00CE783C" w:rsidP="00CE783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Způsob sběru dat</w:t>
            </w:r>
          </w:p>
          <w:p w14:paraId="3308186A" w14:textId="77777777" w:rsidR="00CE783C" w:rsidRPr="00E8550E" w:rsidRDefault="00CE783C" w:rsidP="00CE783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E8550E">
              <w:rPr>
                <w:rFonts w:ascii="Arial" w:hAnsi="Arial" w:cs="Arial"/>
                <w:i/>
                <w:sz w:val="16"/>
                <w:szCs w:val="16"/>
              </w:rPr>
              <w:t>(elektronická nebo listinná podoba)</w:t>
            </w:r>
          </w:p>
        </w:tc>
        <w:tc>
          <w:tcPr>
            <w:tcW w:w="4802" w:type="dxa"/>
          </w:tcPr>
          <w:p w14:paraId="589D7758" w14:textId="4F2D9940" w:rsidR="00CE783C" w:rsidRPr="00144A0B" w:rsidRDefault="00351142" w:rsidP="00883AA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  <w:szCs w:val="18"/>
              </w:rPr>
            </w:pPr>
            <w:r w:rsidRPr="00144A0B">
              <w:rPr>
                <w:rFonts w:ascii="Arial" w:hAnsi="Arial" w:cs="Arial"/>
                <w:sz w:val="20"/>
                <w:szCs w:val="18"/>
              </w:rPr>
              <w:t xml:space="preserve">Elektronická forma dotazníku prostřednictvím </w:t>
            </w:r>
            <w:r w:rsidR="00883AAF">
              <w:rPr>
                <w:rFonts w:ascii="Arial" w:hAnsi="Arial" w:cs="Arial"/>
                <w:sz w:val="20"/>
                <w:szCs w:val="18"/>
              </w:rPr>
              <w:br/>
            </w:r>
            <w:r w:rsidRPr="00144A0B">
              <w:rPr>
                <w:rFonts w:ascii="Arial" w:hAnsi="Arial" w:cs="Arial"/>
                <w:sz w:val="20"/>
                <w:szCs w:val="18"/>
              </w:rPr>
              <w:t xml:space="preserve">e-mailu studentům </w:t>
            </w:r>
            <w:r w:rsidR="00883AAF">
              <w:rPr>
                <w:rFonts w:ascii="Arial" w:hAnsi="Arial" w:cs="Arial"/>
                <w:sz w:val="20"/>
                <w:szCs w:val="18"/>
              </w:rPr>
              <w:t>studijního</w:t>
            </w:r>
            <w:r w:rsidRPr="00144A0B">
              <w:rPr>
                <w:rFonts w:ascii="Arial" w:hAnsi="Arial" w:cs="Arial"/>
                <w:sz w:val="20"/>
                <w:szCs w:val="18"/>
              </w:rPr>
              <w:t xml:space="preserve"> programu Sociální pedagogika.</w:t>
            </w:r>
          </w:p>
        </w:tc>
      </w:tr>
      <w:tr w:rsidR="00CE783C" w:rsidRPr="0058573E" w14:paraId="060A7BA9" w14:textId="77777777" w:rsidTr="00F75C3F">
        <w:trPr>
          <w:trHeight w:val="50"/>
        </w:trPr>
        <w:tc>
          <w:tcPr>
            <w:tcW w:w="4238" w:type="dxa"/>
          </w:tcPr>
          <w:p w14:paraId="6EC22760" w14:textId="7063313B" w:rsidR="00CE783C" w:rsidRDefault="00CE783C" w:rsidP="00CE783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Frekvence sběru dat   </w:t>
            </w:r>
          </w:p>
          <w:p w14:paraId="296D9173" w14:textId="77777777" w:rsidR="00CE783C" w:rsidRPr="00410254" w:rsidRDefault="00CE783C" w:rsidP="00CE783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(jednou za semestr, jednou za akademický rok, jednorázový sběr aj.) </w:t>
            </w:r>
          </w:p>
        </w:tc>
        <w:tc>
          <w:tcPr>
            <w:tcW w:w="4802" w:type="dxa"/>
          </w:tcPr>
          <w:p w14:paraId="6B71C11E" w14:textId="535AA333" w:rsidR="00CE783C" w:rsidRPr="00144A0B" w:rsidRDefault="00351142" w:rsidP="00CE783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  <w:szCs w:val="18"/>
              </w:rPr>
            </w:pPr>
            <w:r w:rsidRPr="00144A0B">
              <w:rPr>
                <w:rFonts w:ascii="Arial" w:hAnsi="Arial" w:cs="Arial"/>
                <w:sz w:val="20"/>
                <w:szCs w:val="18"/>
              </w:rPr>
              <w:t>1x za tři roky.</w:t>
            </w:r>
          </w:p>
        </w:tc>
      </w:tr>
      <w:tr w:rsidR="00CE783C" w:rsidRPr="0058573E" w14:paraId="683DC417" w14:textId="77777777" w:rsidTr="00F75C3F">
        <w:trPr>
          <w:trHeight w:val="50"/>
        </w:trPr>
        <w:tc>
          <w:tcPr>
            <w:tcW w:w="4238" w:type="dxa"/>
          </w:tcPr>
          <w:p w14:paraId="5B36BB44" w14:textId="77777777" w:rsidR="00CE783C" w:rsidRPr="0058573E" w:rsidRDefault="00CE783C" w:rsidP="00CE783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Návratnost dotazníků</w:t>
            </w:r>
          </w:p>
        </w:tc>
        <w:tc>
          <w:tcPr>
            <w:tcW w:w="4802" w:type="dxa"/>
          </w:tcPr>
          <w:p w14:paraId="5DBAF45F" w14:textId="772C544F" w:rsidR="00CE783C" w:rsidRPr="0058573E" w:rsidRDefault="00351142" w:rsidP="00CE783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28 %</w:t>
            </w:r>
          </w:p>
        </w:tc>
      </w:tr>
      <w:tr w:rsidR="00CE783C" w:rsidRPr="0058573E" w14:paraId="15E6E9B8" w14:textId="77777777" w:rsidTr="00F75C3F">
        <w:trPr>
          <w:trHeight w:val="50"/>
        </w:trPr>
        <w:tc>
          <w:tcPr>
            <w:tcW w:w="9040" w:type="dxa"/>
            <w:gridSpan w:val="2"/>
          </w:tcPr>
          <w:p w14:paraId="24988F8F" w14:textId="76B770FA" w:rsidR="00CE783C" w:rsidRPr="0043058D" w:rsidRDefault="00CE783C" w:rsidP="00CE783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Dostupnost výsledků hodnocení pro akademické pracovníky a veřejnost </w:t>
            </w:r>
          </w:p>
          <w:p w14:paraId="0BC81554" w14:textId="3602E78C" w:rsidR="00CE783C" w:rsidRPr="0058573E" w:rsidRDefault="00CE783C" w:rsidP="00CE783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D597A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způsob</w:t>
            </w:r>
            <w:r>
              <w:rPr>
                <w:rFonts w:ascii="Arial" w:hAnsi="Arial" w:cs="Arial"/>
                <w:i/>
                <w:sz w:val="16"/>
                <w:szCs w:val="16"/>
              </w:rPr>
              <w:t>u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 xml:space="preserve"> sdílení a prezentace výsledků</w:t>
            </w:r>
            <w:r>
              <w:rPr>
                <w:rFonts w:ascii="Arial" w:hAnsi="Arial" w:cs="Arial"/>
                <w:i/>
                <w:sz w:val="16"/>
                <w:szCs w:val="16"/>
              </w:rPr>
              <w:t>, např. souhrnná zpráva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CE783C" w:rsidRPr="0058573E" w14:paraId="7A758C29" w14:textId="77777777" w:rsidTr="00144A0B">
        <w:trPr>
          <w:trHeight w:val="1569"/>
        </w:trPr>
        <w:tc>
          <w:tcPr>
            <w:tcW w:w="9040" w:type="dxa"/>
            <w:gridSpan w:val="2"/>
          </w:tcPr>
          <w:p w14:paraId="56A10625" w14:textId="79B08A63" w:rsidR="00CE783C" w:rsidRPr="0058573E" w:rsidRDefault="00CE783C" w:rsidP="00975433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  <w:r w:rsidRPr="0046767D">
              <w:rPr>
                <w:rFonts w:ascii="Arial" w:hAnsi="Arial" w:cs="Arial"/>
                <w:sz w:val="20"/>
              </w:rPr>
              <w:t>Zpráva o vnitřním hodnocení kvality vzdělávací, tvůrčí a s nimi souvisejících činností Univerzity Tomáše Bati ve Zlíně</w:t>
            </w:r>
            <w:r>
              <w:rPr>
                <w:rFonts w:ascii="Arial" w:hAnsi="Arial" w:cs="Arial"/>
                <w:sz w:val="20"/>
              </w:rPr>
              <w:t xml:space="preserve"> a její každoroční aktualizace v Dodatcích</w:t>
            </w:r>
            <w:r w:rsidRPr="0046767D">
              <w:rPr>
                <w:rFonts w:ascii="Arial" w:hAnsi="Arial" w:cs="Arial"/>
                <w:sz w:val="20"/>
              </w:rPr>
              <w:t>.</w:t>
            </w:r>
          </w:p>
        </w:tc>
      </w:tr>
      <w:tr w:rsidR="00CE783C" w:rsidRPr="0058573E" w14:paraId="2092789E" w14:textId="77777777" w:rsidTr="00F75C3F">
        <w:trPr>
          <w:trHeight w:val="50"/>
        </w:trPr>
        <w:tc>
          <w:tcPr>
            <w:tcW w:w="9040" w:type="dxa"/>
            <w:gridSpan w:val="2"/>
          </w:tcPr>
          <w:p w14:paraId="0A8EEF1E" w14:textId="77777777" w:rsidR="00CE783C" w:rsidRPr="0043058D" w:rsidRDefault="00CE783C" w:rsidP="00CE783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28780CDE" w14:textId="77777777" w:rsidR="00CE783C" w:rsidRPr="00EC0854" w:rsidRDefault="00CE783C" w:rsidP="00CE783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CE783C" w:rsidRPr="0058573E" w14:paraId="1CA7AAC1" w14:textId="77777777" w:rsidTr="00101C2D">
        <w:trPr>
          <w:trHeight w:val="1301"/>
        </w:trPr>
        <w:tc>
          <w:tcPr>
            <w:tcW w:w="9040" w:type="dxa"/>
            <w:gridSpan w:val="2"/>
          </w:tcPr>
          <w:p w14:paraId="2E2A0251" w14:textId="51371399" w:rsidR="00CE783C" w:rsidRPr="0058573E" w:rsidRDefault="00B71A98" w:rsidP="00883AAF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Výsledky jsou prezentovány a diskutovány na </w:t>
            </w:r>
            <w:r w:rsidR="00883AAF">
              <w:rPr>
                <w:rFonts w:ascii="Arial" w:hAnsi="Arial" w:cs="Arial"/>
                <w:sz w:val="20"/>
              </w:rPr>
              <w:t>poradě Ústavu pedagogických věd. S výsledky jsou seznámeni členové Akademického senátu FHS.</w:t>
            </w:r>
          </w:p>
        </w:tc>
      </w:tr>
      <w:tr w:rsidR="00CE783C" w:rsidRPr="0058573E" w14:paraId="02E49E12" w14:textId="77777777" w:rsidTr="00F75C3F">
        <w:trPr>
          <w:trHeight w:val="50"/>
        </w:trPr>
        <w:tc>
          <w:tcPr>
            <w:tcW w:w="9040" w:type="dxa"/>
            <w:gridSpan w:val="2"/>
          </w:tcPr>
          <w:p w14:paraId="674E72F8" w14:textId="77777777" w:rsidR="00CE783C" w:rsidRPr="0043058D" w:rsidRDefault="00CE783C" w:rsidP="00CE783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479D9186" w14:textId="77777777" w:rsidR="00CE783C" w:rsidRPr="00AC4575" w:rsidRDefault="00CE783C" w:rsidP="00CE783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účinná)</w:t>
            </w:r>
          </w:p>
        </w:tc>
      </w:tr>
      <w:tr w:rsidR="00CE783C" w:rsidRPr="0058573E" w14:paraId="28B8E996" w14:textId="77777777" w:rsidTr="00F75C3F">
        <w:trPr>
          <w:trHeight w:val="1812"/>
        </w:trPr>
        <w:tc>
          <w:tcPr>
            <w:tcW w:w="9040" w:type="dxa"/>
            <w:gridSpan w:val="2"/>
          </w:tcPr>
          <w:p w14:paraId="1790CA98" w14:textId="48AABA8F" w:rsidR="00CE783C" w:rsidRPr="0058573E" w:rsidRDefault="00351142" w:rsidP="00975433">
            <w:pPr>
              <w:pStyle w:val="Bezmezer"/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Průměrné hodnocení</w:t>
            </w:r>
            <w:r w:rsidR="00036AAA">
              <w:rPr>
                <w:rFonts w:ascii="Arial" w:hAnsi="Arial" w:cs="Arial"/>
                <w:sz w:val="20"/>
              </w:rPr>
              <w:t xml:space="preserve"> studijního programu Sociální pedagogika v bakalářském stupni je 3,7 </w:t>
            </w:r>
            <w:r w:rsidR="00036AAA">
              <w:rPr>
                <w:rFonts w:ascii="Arial" w:hAnsi="Arial" w:cs="Arial"/>
                <w:sz w:val="20"/>
              </w:rPr>
              <w:br/>
              <w:t>(1 = min. kladné hodnocení a 5 = max. kladné hodnocení). Nejlépe studenti hodnotí materiální zabezpečení studijního programu (knihovní služby, IT služby), studijní prostředí (velikost studijních skupin, učebny a podporu vyučujících). Velmi kladně je také ho</w:t>
            </w:r>
            <w:r w:rsidR="00980011">
              <w:rPr>
                <w:rFonts w:ascii="Arial" w:hAnsi="Arial" w:cs="Arial"/>
                <w:sz w:val="20"/>
              </w:rPr>
              <w:t>dnocen</w:t>
            </w:r>
            <w:r w:rsidR="00036AAA">
              <w:rPr>
                <w:rFonts w:ascii="Arial" w:hAnsi="Arial" w:cs="Arial"/>
                <w:sz w:val="20"/>
              </w:rPr>
              <w:t xml:space="preserve"> soulad výuky </w:t>
            </w:r>
            <w:r w:rsidR="00101C2D">
              <w:rPr>
                <w:rFonts w:ascii="Arial" w:hAnsi="Arial" w:cs="Arial"/>
                <w:sz w:val="20"/>
              </w:rPr>
              <w:br/>
            </w:r>
            <w:r w:rsidR="00036AAA">
              <w:rPr>
                <w:rFonts w:ascii="Arial" w:hAnsi="Arial" w:cs="Arial"/>
                <w:sz w:val="20"/>
              </w:rPr>
              <w:t>se studijním plánem, rozvoj znalostí a dovedností uplatnitelných v</w:t>
            </w:r>
            <w:r w:rsidR="00980011">
              <w:rPr>
                <w:rFonts w:ascii="Arial" w:hAnsi="Arial" w:cs="Arial"/>
                <w:sz w:val="20"/>
              </w:rPr>
              <w:t> </w:t>
            </w:r>
            <w:r w:rsidR="00036AAA">
              <w:rPr>
                <w:rFonts w:ascii="Arial" w:hAnsi="Arial" w:cs="Arial"/>
                <w:sz w:val="20"/>
              </w:rPr>
              <w:t>praxi</w:t>
            </w:r>
            <w:r w:rsidR="00980011">
              <w:rPr>
                <w:rFonts w:ascii="Arial" w:hAnsi="Arial" w:cs="Arial"/>
                <w:sz w:val="20"/>
              </w:rPr>
              <w:t xml:space="preserve"> a rozvoj schopností týmové práce a komunikace. Nejméně kladně (avšak s ohledem na průměr hodnocení M = 3,0 fakticky nijak vysoce negativně) je hodnocena informovanost o možnostech mezinárodní mobility, nabídka mezinárodních mobilit a vlastní zkušenost s výzkumem. S ohledem na uvedená zjištění bude zintenzivněná komunikace směrem ke studentům v oblasti mobilit tak, aby se k nim dostávaly informace z více zdrojů (sociální sítě, informační letáky a </w:t>
            </w:r>
            <w:r w:rsidR="00144A0B">
              <w:rPr>
                <w:rFonts w:ascii="Arial" w:hAnsi="Arial" w:cs="Arial"/>
                <w:sz w:val="20"/>
              </w:rPr>
              <w:t xml:space="preserve">informační </w:t>
            </w:r>
            <w:r w:rsidR="00980011">
              <w:rPr>
                <w:rFonts w:ascii="Arial" w:hAnsi="Arial" w:cs="Arial"/>
                <w:sz w:val="20"/>
              </w:rPr>
              <w:t xml:space="preserve">tabule v budově) nejen z referátu </w:t>
            </w:r>
            <w:r w:rsidR="00101C2D">
              <w:rPr>
                <w:rFonts w:ascii="Arial" w:hAnsi="Arial" w:cs="Arial"/>
                <w:sz w:val="20"/>
              </w:rPr>
              <w:t>pro vnější vztahy</w:t>
            </w:r>
            <w:r w:rsidR="00980011">
              <w:rPr>
                <w:rFonts w:ascii="Arial" w:hAnsi="Arial" w:cs="Arial"/>
                <w:sz w:val="20"/>
              </w:rPr>
              <w:t xml:space="preserve">, ale také ze strany vyučujících. </w:t>
            </w:r>
          </w:p>
        </w:tc>
      </w:tr>
    </w:tbl>
    <w:p w14:paraId="3BB10970" w14:textId="40DA9804" w:rsidR="0046767D" w:rsidRDefault="006C5ED8" w:rsidP="0046767D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>Poznámka: Pro každý další typ hodnocení (typ 2 atd.) se vkládá nová tabul</w:t>
      </w:r>
      <w:r w:rsidR="0046767D">
        <w:rPr>
          <w:rFonts w:ascii="Arial" w:hAnsi="Arial" w:cs="Arial"/>
          <w:sz w:val="16"/>
          <w:szCs w:val="16"/>
        </w:rPr>
        <w:t xml:space="preserve">ka.  </w:t>
      </w:r>
    </w:p>
    <w:p w14:paraId="1D5E8CF0" w14:textId="1AA79CBB" w:rsidR="0046767D" w:rsidRPr="0046767D" w:rsidRDefault="0046767D" w:rsidP="0046767D">
      <w:pPr>
        <w:rPr>
          <w:sz w:val="16"/>
          <w:szCs w:val="16"/>
          <w:vertAlign w:val="subscript"/>
        </w:rPr>
      </w:pPr>
      <w:r>
        <w:rPr>
          <w:sz w:val="16"/>
          <w:szCs w:val="16"/>
        </w:rPr>
        <w:t>Navazuje na indikátor C</w:t>
      </w:r>
      <w:r>
        <w:rPr>
          <w:sz w:val="16"/>
          <w:szCs w:val="16"/>
          <w:vertAlign w:val="subscript"/>
        </w:rPr>
        <w:t>2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3C344C8C" w14:textId="75D7FB44" w:rsidR="0046767D" w:rsidRPr="0046767D" w:rsidRDefault="0046767D" w:rsidP="0046767D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  <w:sectPr w:rsidR="0046767D" w:rsidRPr="0046767D" w:rsidSect="00BF69BF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31860C92" w14:textId="545307CF" w:rsidR="004E7679" w:rsidRPr="00691411" w:rsidRDefault="004E7679" w:rsidP="004E7679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lastRenderedPageBreak/>
        <w:t>2</w:t>
      </w:r>
      <w:r w:rsidR="0046767D">
        <w:rPr>
          <w:rFonts w:cs="Arial"/>
          <w:b/>
          <w:color w:val="C45911" w:themeColor="accent2" w:themeShade="BF"/>
          <w:sz w:val="24"/>
          <w:szCs w:val="24"/>
        </w:rPr>
        <w:t>c</w:t>
      </w:r>
      <w:r>
        <w:rPr>
          <w:rFonts w:cs="Arial"/>
          <w:b/>
          <w:color w:val="C45911" w:themeColor="accent2" w:themeShade="BF"/>
          <w:sz w:val="24"/>
          <w:szCs w:val="24"/>
        </w:rPr>
        <w:t>) Hodnocení studia</w:t>
      </w:r>
      <w:r w:rsidRPr="00691411">
        <w:rPr>
          <w:rFonts w:cs="Arial"/>
          <w:b/>
          <w:color w:val="C45911" w:themeColor="accent2" w:themeShade="BF"/>
          <w:sz w:val="24"/>
          <w:szCs w:val="24"/>
        </w:rPr>
        <w:t xml:space="preserve"> ve studijním programu</w:t>
      </w:r>
      <w:r>
        <w:rPr>
          <w:rFonts w:cs="Arial"/>
          <w:b/>
          <w:color w:val="C45911" w:themeColor="accent2" w:themeShade="BF"/>
          <w:sz w:val="24"/>
          <w:szCs w:val="24"/>
        </w:rPr>
        <w:t xml:space="preserve"> absolventy</w:t>
      </w:r>
    </w:p>
    <w:p w14:paraId="7E9D0F62" w14:textId="77777777" w:rsidR="004E7679" w:rsidRPr="006965DC" w:rsidRDefault="004E7679" w:rsidP="004E7679">
      <w:pPr>
        <w:ind w:right="454"/>
        <w:rPr>
          <w:rFonts w:cs="Arial"/>
          <w:b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38"/>
        <w:gridCol w:w="4802"/>
      </w:tblGrid>
      <w:tr w:rsidR="004E7679" w:rsidRPr="00E907FB" w14:paraId="1C6D439F" w14:textId="77777777" w:rsidTr="00160D7F">
        <w:trPr>
          <w:trHeight w:val="376"/>
        </w:trPr>
        <w:tc>
          <w:tcPr>
            <w:tcW w:w="9040" w:type="dxa"/>
            <w:gridSpan w:val="2"/>
            <w:shd w:val="clear" w:color="auto" w:fill="F7CAAC" w:themeFill="accent2" w:themeFillTint="66"/>
          </w:tcPr>
          <w:p w14:paraId="6A641457" w14:textId="64206151" w:rsidR="004E7679" w:rsidRPr="00E907FB" w:rsidRDefault="004E7679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 xml:space="preserve">Absolventské hodnocení </w:t>
            </w:r>
            <w:r w:rsidR="00F75C3F" w:rsidRPr="00160D7F">
              <w:rPr>
                <w:rFonts w:ascii="Arial" w:hAnsi="Arial" w:cs="Arial"/>
                <w:b/>
                <w:sz w:val="20"/>
              </w:rPr>
              <w:t>– Fakultní hodnocení ze strany absolventů v rámci modulu D</w:t>
            </w:r>
            <w:r w:rsidR="0046767D" w:rsidRPr="0046767D">
              <w:rPr>
                <w:rFonts w:ascii="Arial" w:hAnsi="Arial" w:cs="Arial"/>
                <w:b/>
                <w:sz w:val="20"/>
                <w:vertAlign w:val="subscript"/>
              </w:rPr>
              <w:t>1</w:t>
            </w:r>
            <w:r w:rsidR="00F75C3F" w:rsidRPr="00160D7F">
              <w:rPr>
                <w:rFonts w:ascii="Arial" w:hAnsi="Arial" w:cs="Arial"/>
                <w:b/>
                <w:sz w:val="20"/>
              </w:rPr>
              <w:t xml:space="preserve"> </w:t>
            </w:r>
            <w:r w:rsidR="0046767D">
              <w:rPr>
                <w:rFonts w:ascii="Arial" w:hAnsi="Arial" w:cs="Arial"/>
                <w:b/>
                <w:sz w:val="20"/>
              </w:rPr>
              <w:t xml:space="preserve">ZVH </w:t>
            </w:r>
            <w:r w:rsidR="00F75C3F" w:rsidRPr="00160D7F">
              <w:rPr>
                <w:rFonts w:ascii="Arial" w:hAnsi="Arial" w:cs="Arial"/>
                <w:b/>
                <w:sz w:val="20"/>
              </w:rPr>
              <w:t>UTB</w:t>
            </w:r>
          </w:p>
        </w:tc>
      </w:tr>
      <w:tr w:rsidR="004E7679" w:rsidRPr="0058573E" w14:paraId="53CCB382" w14:textId="77777777" w:rsidTr="004E7679">
        <w:trPr>
          <w:trHeight w:val="396"/>
        </w:trPr>
        <w:tc>
          <w:tcPr>
            <w:tcW w:w="4238" w:type="dxa"/>
          </w:tcPr>
          <w:p w14:paraId="26C7E176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Rok/roky realizace</w:t>
            </w:r>
          </w:p>
          <w:p w14:paraId="5D213645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6B4318">
              <w:rPr>
                <w:rFonts w:ascii="Arial" w:hAnsi="Arial" w:cs="Arial"/>
                <w:i/>
                <w:sz w:val="20"/>
              </w:rPr>
              <w:t>(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v </w:t>
            </w:r>
            <w:r>
              <w:rPr>
                <w:rFonts w:ascii="Arial" w:hAnsi="Arial" w:cs="Arial"/>
                <w:i/>
                <w:sz w:val="16"/>
                <w:szCs w:val="16"/>
              </w:rPr>
              <w:t>období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RRRR-3 až RRRR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4802" w:type="dxa"/>
          </w:tcPr>
          <w:p w14:paraId="5E2BDD11" w14:textId="37A42A17" w:rsidR="00F75C3F" w:rsidRPr="009A1A4B" w:rsidRDefault="00B71A98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  <w:szCs w:val="18"/>
              </w:rPr>
            </w:pPr>
            <w:r w:rsidRPr="009A1A4B">
              <w:rPr>
                <w:rFonts w:ascii="Arial" w:hAnsi="Arial" w:cs="Arial"/>
                <w:sz w:val="20"/>
                <w:szCs w:val="18"/>
              </w:rPr>
              <w:t>Rok 2024.</w:t>
            </w:r>
          </w:p>
        </w:tc>
      </w:tr>
      <w:tr w:rsidR="004E7679" w:rsidRPr="0058573E" w14:paraId="350F26FA" w14:textId="77777777" w:rsidTr="004E7679">
        <w:trPr>
          <w:trHeight w:val="396"/>
        </w:trPr>
        <w:tc>
          <w:tcPr>
            <w:tcW w:w="4238" w:type="dxa"/>
          </w:tcPr>
          <w:p w14:paraId="6F0F765D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hodnocení</w:t>
            </w:r>
          </w:p>
          <w:p w14:paraId="3F3CBC74" w14:textId="13613E2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studijní plány, celková spokojenost se studijním programem, infrastruktura, služby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181692EC" w14:textId="40C77C68" w:rsidR="00F75C3F" w:rsidRPr="009A1A4B" w:rsidRDefault="00B71A98" w:rsidP="00B71A98">
            <w:pPr>
              <w:pStyle w:val="Bezmezer"/>
              <w:spacing w:before="40" w:after="40"/>
              <w:rPr>
                <w:rFonts w:ascii="Arial" w:hAnsi="Arial" w:cs="Arial"/>
                <w:sz w:val="20"/>
                <w:szCs w:val="18"/>
              </w:rPr>
            </w:pPr>
            <w:r w:rsidRPr="009A1A4B">
              <w:rPr>
                <w:rFonts w:ascii="Arial" w:hAnsi="Arial" w:cs="Arial"/>
                <w:sz w:val="20"/>
                <w:szCs w:val="18"/>
              </w:rPr>
              <w:t xml:space="preserve">Celkové hodnocení kvality studijního prostředí, které zahrnuje oblasti: (1) vzdělávání a podpora studentů, (2) studijní prostředí, (3) participace studentů, (4) stimulace a soudržnost, (5) čas věnovaný studiu, (6) relevance pro trh práce, (7) </w:t>
            </w:r>
            <w:proofErr w:type="spellStart"/>
            <w:r w:rsidRPr="009A1A4B">
              <w:rPr>
                <w:rFonts w:ascii="Arial" w:hAnsi="Arial" w:cs="Arial"/>
                <w:sz w:val="20"/>
                <w:szCs w:val="18"/>
              </w:rPr>
              <w:t>mobilitní</w:t>
            </w:r>
            <w:proofErr w:type="spellEnd"/>
            <w:r w:rsidRPr="009A1A4B">
              <w:rPr>
                <w:rFonts w:ascii="Arial" w:hAnsi="Arial" w:cs="Arial"/>
                <w:sz w:val="20"/>
                <w:szCs w:val="18"/>
              </w:rPr>
              <w:t xml:space="preserve"> příležitosti, (8) hodnocení studijních výsledků, (9) výsledky učení, (10) očekávání, spokojenost a motivace.</w:t>
            </w:r>
          </w:p>
        </w:tc>
      </w:tr>
      <w:tr w:rsidR="0046767D" w:rsidRPr="0058573E" w14:paraId="280054B8" w14:textId="77777777" w:rsidTr="004E7679">
        <w:trPr>
          <w:trHeight w:val="401"/>
        </w:trPr>
        <w:tc>
          <w:tcPr>
            <w:tcW w:w="4238" w:type="dxa"/>
          </w:tcPr>
          <w:p w14:paraId="215703FD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Cílová skupina</w:t>
            </w:r>
          </w:p>
          <w:p w14:paraId="2240B91C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všichni absolventi, absolventi v prezenční formě studia, absolventi po 2 letech od promoce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280A237E" w14:textId="7D161176" w:rsidR="0046767D" w:rsidRPr="009A1A4B" w:rsidRDefault="001A22B0" w:rsidP="001A22B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  <w:szCs w:val="18"/>
              </w:rPr>
            </w:pPr>
            <w:r w:rsidRPr="009A1A4B">
              <w:rPr>
                <w:rFonts w:ascii="Arial" w:hAnsi="Arial" w:cs="Arial"/>
                <w:sz w:val="20"/>
                <w:szCs w:val="18"/>
              </w:rPr>
              <w:t xml:space="preserve">Absolventi </w:t>
            </w:r>
            <w:r w:rsidR="00B71A98" w:rsidRPr="009A1A4B">
              <w:rPr>
                <w:rFonts w:ascii="Arial" w:hAnsi="Arial" w:cs="Arial"/>
                <w:sz w:val="20"/>
                <w:szCs w:val="18"/>
              </w:rPr>
              <w:t>studijn</w:t>
            </w:r>
            <w:r w:rsidRPr="009A1A4B">
              <w:rPr>
                <w:rFonts w:ascii="Arial" w:hAnsi="Arial" w:cs="Arial"/>
                <w:sz w:val="20"/>
                <w:szCs w:val="18"/>
              </w:rPr>
              <w:t>ího programu Sociální pedagogika do 3 let od promoce.</w:t>
            </w:r>
          </w:p>
        </w:tc>
      </w:tr>
      <w:tr w:rsidR="0046767D" w:rsidRPr="0058573E" w14:paraId="7C3F5FA4" w14:textId="77777777" w:rsidTr="004E7679">
        <w:trPr>
          <w:trHeight w:val="394"/>
        </w:trPr>
        <w:tc>
          <w:tcPr>
            <w:tcW w:w="4238" w:type="dxa"/>
          </w:tcPr>
          <w:p w14:paraId="2FBED64F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Způsob sběru dat</w:t>
            </w:r>
          </w:p>
          <w:p w14:paraId="473068C5" w14:textId="77777777" w:rsidR="0046767D" w:rsidRPr="00E8550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E8550E">
              <w:rPr>
                <w:rFonts w:ascii="Arial" w:hAnsi="Arial" w:cs="Arial"/>
                <w:i/>
                <w:sz w:val="16"/>
                <w:szCs w:val="16"/>
              </w:rPr>
              <w:t>(elektronická nebo listinná podoba)</w:t>
            </w:r>
          </w:p>
        </w:tc>
        <w:tc>
          <w:tcPr>
            <w:tcW w:w="4802" w:type="dxa"/>
          </w:tcPr>
          <w:p w14:paraId="27301FC4" w14:textId="728E32CE" w:rsidR="0046767D" w:rsidRPr="009A1A4B" w:rsidRDefault="00B71A98" w:rsidP="00EA1D35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  <w:szCs w:val="18"/>
              </w:rPr>
            </w:pPr>
            <w:r w:rsidRPr="009A1A4B">
              <w:rPr>
                <w:rFonts w:ascii="Arial" w:hAnsi="Arial" w:cs="Arial"/>
                <w:sz w:val="20"/>
                <w:szCs w:val="18"/>
              </w:rPr>
              <w:t xml:space="preserve">Elektronická forma dotazníku prostřednictvím </w:t>
            </w:r>
            <w:r w:rsidR="00883AAF">
              <w:rPr>
                <w:rFonts w:ascii="Arial" w:hAnsi="Arial" w:cs="Arial"/>
                <w:sz w:val="20"/>
                <w:szCs w:val="18"/>
              </w:rPr>
              <w:br/>
            </w:r>
            <w:r w:rsidRPr="009A1A4B">
              <w:rPr>
                <w:rFonts w:ascii="Arial" w:hAnsi="Arial" w:cs="Arial"/>
                <w:sz w:val="20"/>
                <w:szCs w:val="18"/>
              </w:rPr>
              <w:t xml:space="preserve">e-mailu </w:t>
            </w:r>
            <w:r w:rsidR="00EA1D35">
              <w:rPr>
                <w:rFonts w:ascii="Arial" w:hAnsi="Arial" w:cs="Arial"/>
                <w:sz w:val="20"/>
                <w:szCs w:val="18"/>
              </w:rPr>
              <w:t>absolv</w:t>
            </w:r>
            <w:r w:rsidRPr="009A1A4B">
              <w:rPr>
                <w:rFonts w:ascii="Arial" w:hAnsi="Arial" w:cs="Arial"/>
                <w:sz w:val="20"/>
                <w:szCs w:val="18"/>
              </w:rPr>
              <w:t xml:space="preserve">entům </w:t>
            </w:r>
            <w:r w:rsidR="00883AAF">
              <w:rPr>
                <w:rFonts w:ascii="Arial" w:hAnsi="Arial" w:cs="Arial"/>
                <w:sz w:val="20"/>
                <w:szCs w:val="18"/>
              </w:rPr>
              <w:t>studijního</w:t>
            </w:r>
            <w:r w:rsidRPr="009A1A4B">
              <w:rPr>
                <w:rFonts w:ascii="Arial" w:hAnsi="Arial" w:cs="Arial"/>
                <w:sz w:val="20"/>
                <w:szCs w:val="18"/>
              </w:rPr>
              <w:t xml:space="preserve"> programu Sociální pedagogika.</w:t>
            </w:r>
          </w:p>
        </w:tc>
      </w:tr>
      <w:tr w:rsidR="0046767D" w:rsidRPr="0058573E" w14:paraId="481891B8" w14:textId="77777777" w:rsidTr="004E7679">
        <w:trPr>
          <w:trHeight w:val="50"/>
        </w:trPr>
        <w:tc>
          <w:tcPr>
            <w:tcW w:w="4238" w:type="dxa"/>
          </w:tcPr>
          <w:p w14:paraId="264514AF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Frekvence sběru dat   </w:t>
            </w:r>
          </w:p>
          <w:p w14:paraId="43374C06" w14:textId="77777777" w:rsidR="0046767D" w:rsidRPr="00410254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(jednou za semestr, jednou za akademický rok, jednorázový sběr aj.) </w:t>
            </w:r>
          </w:p>
        </w:tc>
        <w:tc>
          <w:tcPr>
            <w:tcW w:w="4802" w:type="dxa"/>
          </w:tcPr>
          <w:p w14:paraId="3B6C62D6" w14:textId="0F290E70" w:rsidR="0046767D" w:rsidRPr="009A1A4B" w:rsidRDefault="00B71A98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  <w:szCs w:val="18"/>
              </w:rPr>
            </w:pPr>
            <w:r w:rsidRPr="009A1A4B">
              <w:rPr>
                <w:rFonts w:ascii="Arial" w:hAnsi="Arial" w:cs="Arial"/>
                <w:sz w:val="20"/>
                <w:szCs w:val="18"/>
              </w:rPr>
              <w:t>1x za tři roky.</w:t>
            </w:r>
          </w:p>
        </w:tc>
      </w:tr>
      <w:tr w:rsidR="0046767D" w:rsidRPr="0058573E" w14:paraId="131E0070" w14:textId="77777777" w:rsidTr="004E7679">
        <w:trPr>
          <w:trHeight w:val="50"/>
        </w:trPr>
        <w:tc>
          <w:tcPr>
            <w:tcW w:w="4238" w:type="dxa"/>
          </w:tcPr>
          <w:p w14:paraId="719B21D9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Návratnost dotazníků</w:t>
            </w:r>
          </w:p>
        </w:tc>
        <w:tc>
          <w:tcPr>
            <w:tcW w:w="4802" w:type="dxa"/>
          </w:tcPr>
          <w:p w14:paraId="676E7226" w14:textId="464CA4F6" w:rsidR="0046767D" w:rsidRP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767D" w:rsidRPr="0058573E" w14:paraId="2B980D06" w14:textId="77777777" w:rsidTr="004E7679">
        <w:trPr>
          <w:trHeight w:val="50"/>
        </w:trPr>
        <w:tc>
          <w:tcPr>
            <w:tcW w:w="9040" w:type="dxa"/>
            <w:gridSpan w:val="2"/>
          </w:tcPr>
          <w:p w14:paraId="010379FF" w14:textId="77777777" w:rsidR="0046767D" w:rsidRPr="0043058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Dostupnost výsledků hodnocení pro akademické pracovníky a veřejnost </w:t>
            </w:r>
          </w:p>
          <w:p w14:paraId="7D6BCCAD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D597A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způsob</w:t>
            </w:r>
            <w:r>
              <w:rPr>
                <w:rFonts w:ascii="Arial" w:hAnsi="Arial" w:cs="Arial"/>
                <w:i/>
                <w:sz w:val="16"/>
                <w:szCs w:val="16"/>
              </w:rPr>
              <w:t>u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 xml:space="preserve"> sdílení a prezentace výsledků</w:t>
            </w:r>
            <w:r>
              <w:rPr>
                <w:rFonts w:ascii="Arial" w:hAnsi="Arial" w:cs="Arial"/>
                <w:i/>
                <w:sz w:val="16"/>
                <w:szCs w:val="16"/>
              </w:rPr>
              <w:t>, např. souhrnná zpráva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46767D" w:rsidRPr="0058573E" w14:paraId="26E3D95F" w14:textId="77777777" w:rsidTr="004E7679">
        <w:trPr>
          <w:trHeight w:val="1787"/>
        </w:trPr>
        <w:tc>
          <w:tcPr>
            <w:tcW w:w="9040" w:type="dxa"/>
            <w:gridSpan w:val="2"/>
          </w:tcPr>
          <w:p w14:paraId="03386E15" w14:textId="23CCE1DB" w:rsidR="0046767D" w:rsidRPr="00E2144C" w:rsidRDefault="00B71A98" w:rsidP="00975433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  <w:r w:rsidRPr="0046767D">
              <w:rPr>
                <w:rFonts w:ascii="Arial" w:hAnsi="Arial" w:cs="Arial"/>
                <w:sz w:val="20"/>
              </w:rPr>
              <w:t>Zpráva o vnitřním hodnocení kvality vzdělávací, tvůrčí a s nimi souvisejících činností Univerzity Tomáše Bati ve Zlíně</w:t>
            </w:r>
            <w:r>
              <w:rPr>
                <w:rFonts w:ascii="Arial" w:hAnsi="Arial" w:cs="Arial"/>
                <w:sz w:val="20"/>
              </w:rPr>
              <w:t xml:space="preserve"> a její každoroční aktualizace v Dodatcích</w:t>
            </w:r>
            <w:r w:rsidRPr="0046767D">
              <w:rPr>
                <w:rFonts w:ascii="Arial" w:hAnsi="Arial" w:cs="Arial"/>
                <w:sz w:val="20"/>
              </w:rPr>
              <w:t>.</w:t>
            </w:r>
          </w:p>
        </w:tc>
      </w:tr>
      <w:tr w:rsidR="0046767D" w:rsidRPr="0058573E" w14:paraId="50F7C334" w14:textId="77777777" w:rsidTr="004E7679">
        <w:trPr>
          <w:trHeight w:val="50"/>
        </w:trPr>
        <w:tc>
          <w:tcPr>
            <w:tcW w:w="9040" w:type="dxa"/>
            <w:gridSpan w:val="2"/>
          </w:tcPr>
          <w:p w14:paraId="0E16DEC5" w14:textId="77777777" w:rsidR="0046767D" w:rsidRPr="0043058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1E6CDA19" w14:textId="77777777" w:rsidR="0046767D" w:rsidRPr="00EC0854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46767D" w:rsidRPr="00E2144C" w14:paraId="7CF2816E" w14:textId="77777777" w:rsidTr="004E7679">
        <w:trPr>
          <w:trHeight w:val="1820"/>
        </w:trPr>
        <w:tc>
          <w:tcPr>
            <w:tcW w:w="9040" w:type="dxa"/>
            <w:gridSpan w:val="2"/>
          </w:tcPr>
          <w:p w14:paraId="4C087EBA" w14:textId="74E18897" w:rsidR="0046767D" w:rsidRPr="00E2144C" w:rsidRDefault="00883AAF" w:rsidP="00975433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Výsledky jsou prezentovány a diskutovány na poradě Ústavu pedagogických věd. S výsledky jsou seznámeni členové Akademického senátu FHS.</w:t>
            </w:r>
          </w:p>
        </w:tc>
      </w:tr>
      <w:tr w:rsidR="0046767D" w:rsidRPr="0058573E" w14:paraId="030E1613" w14:textId="77777777" w:rsidTr="004E7679">
        <w:trPr>
          <w:trHeight w:val="50"/>
        </w:trPr>
        <w:tc>
          <w:tcPr>
            <w:tcW w:w="9040" w:type="dxa"/>
            <w:gridSpan w:val="2"/>
          </w:tcPr>
          <w:p w14:paraId="7E5C4D52" w14:textId="77777777" w:rsidR="0046767D" w:rsidRPr="0043058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360F4670" w14:textId="77777777" w:rsidR="0046767D" w:rsidRPr="00AC4575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účinná)</w:t>
            </w:r>
          </w:p>
        </w:tc>
      </w:tr>
      <w:tr w:rsidR="0046767D" w:rsidRPr="0058573E" w14:paraId="7626CDC7" w14:textId="77777777" w:rsidTr="004E7679">
        <w:trPr>
          <w:trHeight w:val="1812"/>
        </w:trPr>
        <w:tc>
          <w:tcPr>
            <w:tcW w:w="9040" w:type="dxa"/>
            <w:gridSpan w:val="2"/>
          </w:tcPr>
          <w:p w14:paraId="4E719325" w14:textId="1FBF003E" w:rsidR="0046767D" w:rsidRPr="0058573E" w:rsidRDefault="00B71A98" w:rsidP="00975433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Průměrné hodnocení všech položek hodnocení kvality studijního programu absolventy je 3,9 </w:t>
            </w:r>
            <w:r>
              <w:rPr>
                <w:rFonts w:ascii="Arial" w:hAnsi="Arial" w:cs="Arial"/>
                <w:sz w:val="20"/>
              </w:rPr>
              <w:br/>
              <w:t>(1 = min. kladné hodnocení a 5 = max. kladné hodnocení). V hodnocení jednotlivých položek nejsou velké rozdíly. Nejlépe je hodnocené materiální zabezpečení studijního programu, podpora ze strany vyučujících a celkové studijní prostředí. Velmi kladně absolventi hodnotí svou připravenost na výkon profese (zejm. rozvoj schopností k samostatné práci, schopnosti týmové práce a odborné znalosti). Nižší hodnocení patřilo informovanosti o mobilitách. Opatření k lepší informovanosti o mobili</w:t>
            </w:r>
            <w:r w:rsidR="00A45BA5">
              <w:rPr>
                <w:rFonts w:ascii="Arial" w:hAnsi="Arial" w:cs="Arial"/>
                <w:sz w:val="20"/>
              </w:rPr>
              <w:t xml:space="preserve">tách </w:t>
            </w:r>
            <w:r w:rsidR="00975433">
              <w:rPr>
                <w:rFonts w:ascii="Arial" w:hAnsi="Arial" w:cs="Arial"/>
                <w:sz w:val="20"/>
              </w:rPr>
              <w:br/>
            </w:r>
            <w:r w:rsidR="00A45BA5">
              <w:rPr>
                <w:rFonts w:ascii="Arial" w:hAnsi="Arial" w:cs="Arial"/>
                <w:sz w:val="20"/>
              </w:rPr>
              <w:t>je uvedeno v tabulce 2b). B</w:t>
            </w:r>
            <w:r>
              <w:rPr>
                <w:rFonts w:ascii="Arial" w:hAnsi="Arial" w:cs="Arial"/>
                <w:sz w:val="20"/>
              </w:rPr>
              <w:t>ude se zaměřovat na širší možnosti informačních kanálů a adresnějšího oslovování studentů.</w:t>
            </w:r>
          </w:p>
        </w:tc>
      </w:tr>
    </w:tbl>
    <w:p w14:paraId="49B14C3F" w14:textId="77777777" w:rsidR="004E7679" w:rsidRPr="00584C31" w:rsidRDefault="004E7679" w:rsidP="004E7679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 xml:space="preserve">Poznámka: Pro každý další typ hodnocení (typ 2 atd.) se vkládá nová tabulka.    </w:t>
      </w:r>
    </w:p>
    <w:p w14:paraId="34439301" w14:textId="2F915B27" w:rsidR="0046767D" w:rsidRDefault="0046767D" w:rsidP="0046767D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D</w:t>
      </w:r>
      <w:r>
        <w:rPr>
          <w:sz w:val="16"/>
          <w:szCs w:val="16"/>
          <w:vertAlign w:val="subscript"/>
        </w:rPr>
        <w:t>1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31C6D797" w14:textId="77777777" w:rsidR="004E7679" w:rsidRDefault="004E7679" w:rsidP="004E7679">
      <w:pPr>
        <w:ind w:right="454"/>
        <w:rPr>
          <w:rFonts w:cs="Arial"/>
          <w:color w:val="7030A0"/>
          <w:sz w:val="32"/>
          <w:szCs w:val="32"/>
        </w:rPr>
      </w:pPr>
    </w:p>
    <w:p w14:paraId="1598AB14" w14:textId="39A4C0A3" w:rsidR="004E7679" w:rsidRPr="00691411" w:rsidRDefault="0046767D" w:rsidP="009A1A4B">
      <w:pPr>
        <w:spacing w:after="160" w:line="259" w:lineRule="auto"/>
        <w:rPr>
          <w:rFonts w:cs="Arial"/>
          <w:b/>
          <w:color w:val="C45911" w:themeColor="accent2" w:themeShade="BF"/>
          <w:sz w:val="24"/>
          <w:szCs w:val="24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br w:type="page"/>
      </w:r>
      <w:r w:rsidR="004E7679">
        <w:rPr>
          <w:rFonts w:cs="Arial"/>
          <w:b/>
          <w:color w:val="C45911" w:themeColor="accent2" w:themeShade="BF"/>
          <w:sz w:val="24"/>
          <w:szCs w:val="24"/>
        </w:rPr>
        <w:lastRenderedPageBreak/>
        <w:t>2</w:t>
      </w:r>
      <w:r>
        <w:rPr>
          <w:rFonts w:cs="Arial"/>
          <w:b/>
          <w:color w:val="C45911" w:themeColor="accent2" w:themeShade="BF"/>
          <w:sz w:val="24"/>
          <w:szCs w:val="24"/>
        </w:rPr>
        <w:t>d</w:t>
      </w:r>
      <w:r w:rsidR="004E7679">
        <w:rPr>
          <w:rFonts w:cs="Arial"/>
          <w:b/>
          <w:color w:val="C45911" w:themeColor="accent2" w:themeShade="BF"/>
          <w:sz w:val="24"/>
          <w:szCs w:val="24"/>
        </w:rPr>
        <w:t>) Hodnocení studia</w:t>
      </w:r>
      <w:r w:rsidR="004E7679" w:rsidRPr="00691411">
        <w:rPr>
          <w:rFonts w:cs="Arial"/>
          <w:b/>
          <w:color w:val="C45911" w:themeColor="accent2" w:themeShade="BF"/>
          <w:sz w:val="24"/>
          <w:szCs w:val="24"/>
        </w:rPr>
        <w:t xml:space="preserve"> ve studijním programu</w:t>
      </w:r>
      <w:r w:rsidR="004E7679">
        <w:rPr>
          <w:rFonts w:cs="Arial"/>
          <w:b/>
          <w:color w:val="C45911" w:themeColor="accent2" w:themeShade="BF"/>
          <w:sz w:val="24"/>
          <w:szCs w:val="24"/>
        </w:rPr>
        <w:t xml:space="preserve"> zaměstnavateli</w:t>
      </w:r>
    </w:p>
    <w:p w14:paraId="1CE7EA78" w14:textId="77777777" w:rsidR="004E7679" w:rsidRPr="006965DC" w:rsidRDefault="004E7679" w:rsidP="004E7679">
      <w:pPr>
        <w:ind w:right="454"/>
        <w:rPr>
          <w:rFonts w:cs="Arial"/>
          <w:b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38"/>
        <w:gridCol w:w="4802"/>
      </w:tblGrid>
      <w:tr w:rsidR="004E7679" w:rsidRPr="00E907FB" w14:paraId="073800FA" w14:textId="77777777" w:rsidTr="00160D7F">
        <w:trPr>
          <w:trHeight w:val="376"/>
        </w:trPr>
        <w:tc>
          <w:tcPr>
            <w:tcW w:w="9040" w:type="dxa"/>
            <w:gridSpan w:val="2"/>
            <w:shd w:val="clear" w:color="auto" w:fill="F7CAAC" w:themeFill="accent2" w:themeFillTint="66"/>
          </w:tcPr>
          <w:p w14:paraId="081ACD05" w14:textId="5DE8A67A" w:rsidR="004E7679" w:rsidRPr="00E907FB" w:rsidRDefault="00F75C3F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 xml:space="preserve">Hodnocení zaměstnavatelů – </w:t>
            </w:r>
            <w:r w:rsidR="0046767D">
              <w:rPr>
                <w:rFonts w:ascii="Arial" w:hAnsi="Arial" w:cs="Arial"/>
                <w:b/>
                <w:sz w:val="20"/>
              </w:rPr>
              <w:t>Fakultní hodnocení ze strany zaměstnavatelů</w:t>
            </w:r>
            <w:r w:rsidR="0046767D" w:rsidRPr="00160D7F">
              <w:rPr>
                <w:rFonts w:ascii="Arial" w:hAnsi="Arial" w:cs="Arial"/>
                <w:b/>
                <w:sz w:val="20"/>
              </w:rPr>
              <w:t xml:space="preserve"> v rámci modulu D</w:t>
            </w:r>
            <w:r w:rsidR="0046767D">
              <w:rPr>
                <w:rFonts w:ascii="Arial" w:hAnsi="Arial" w:cs="Arial"/>
                <w:b/>
                <w:sz w:val="20"/>
                <w:vertAlign w:val="subscript"/>
              </w:rPr>
              <w:t>2</w:t>
            </w:r>
            <w:r w:rsidR="0046767D" w:rsidRPr="00160D7F">
              <w:rPr>
                <w:rFonts w:ascii="Arial" w:hAnsi="Arial" w:cs="Arial"/>
                <w:b/>
                <w:sz w:val="20"/>
              </w:rPr>
              <w:t xml:space="preserve"> </w:t>
            </w:r>
            <w:r w:rsidR="0046767D">
              <w:rPr>
                <w:rFonts w:ascii="Arial" w:hAnsi="Arial" w:cs="Arial"/>
                <w:b/>
                <w:sz w:val="20"/>
              </w:rPr>
              <w:t xml:space="preserve">ZVH </w:t>
            </w:r>
            <w:r w:rsidR="0046767D" w:rsidRPr="00160D7F">
              <w:rPr>
                <w:rFonts w:ascii="Arial" w:hAnsi="Arial" w:cs="Arial"/>
                <w:b/>
                <w:sz w:val="20"/>
              </w:rPr>
              <w:t>UTB</w:t>
            </w:r>
          </w:p>
        </w:tc>
      </w:tr>
      <w:tr w:rsidR="004E7679" w:rsidRPr="0058573E" w14:paraId="615696C5" w14:textId="77777777" w:rsidTr="00F75C3F">
        <w:trPr>
          <w:trHeight w:val="396"/>
        </w:trPr>
        <w:tc>
          <w:tcPr>
            <w:tcW w:w="4238" w:type="dxa"/>
          </w:tcPr>
          <w:p w14:paraId="0A8A273A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Rok/roky realizace</w:t>
            </w:r>
          </w:p>
          <w:p w14:paraId="710F9C95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6B4318">
              <w:rPr>
                <w:rFonts w:ascii="Arial" w:hAnsi="Arial" w:cs="Arial"/>
                <w:i/>
                <w:sz w:val="20"/>
              </w:rPr>
              <w:t>(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v </w:t>
            </w:r>
            <w:r>
              <w:rPr>
                <w:rFonts w:ascii="Arial" w:hAnsi="Arial" w:cs="Arial"/>
                <w:i/>
                <w:sz w:val="16"/>
                <w:szCs w:val="16"/>
              </w:rPr>
              <w:t>období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RRRR-3 až RRRR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4802" w:type="dxa"/>
          </w:tcPr>
          <w:p w14:paraId="7EF6E906" w14:textId="5D4B45EB" w:rsidR="00F75C3F" w:rsidRPr="00C96F3A" w:rsidRDefault="001A22B0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C96F3A">
              <w:rPr>
                <w:rFonts w:ascii="Arial" w:hAnsi="Arial" w:cs="Arial"/>
                <w:sz w:val="20"/>
              </w:rPr>
              <w:t>Rok 2024</w:t>
            </w:r>
            <w:r w:rsidR="008B275C" w:rsidRPr="00C96F3A">
              <w:rPr>
                <w:rFonts w:ascii="Arial" w:hAnsi="Arial" w:cs="Arial"/>
                <w:sz w:val="20"/>
              </w:rPr>
              <w:t>.</w:t>
            </w:r>
          </w:p>
        </w:tc>
      </w:tr>
      <w:tr w:rsidR="0046767D" w:rsidRPr="0058573E" w14:paraId="2A1CB7FF" w14:textId="77777777" w:rsidTr="00F75C3F">
        <w:trPr>
          <w:trHeight w:val="396"/>
        </w:trPr>
        <w:tc>
          <w:tcPr>
            <w:tcW w:w="4238" w:type="dxa"/>
          </w:tcPr>
          <w:p w14:paraId="51E2ECB1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hodnocení</w:t>
            </w:r>
          </w:p>
          <w:p w14:paraId="099F1613" w14:textId="3166472B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studijní plány, celková spokojenost se studijním programem, infrastruktura, služby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371E8D3A" w14:textId="4D56340C" w:rsidR="0046767D" w:rsidRPr="00C96F3A" w:rsidRDefault="001A22B0" w:rsidP="009B273C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  <w:r w:rsidRPr="00C96F3A">
              <w:rPr>
                <w:rFonts w:ascii="Arial" w:hAnsi="Arial" w:cs="Arial"/>
                <w:sz w:val="20"/>
              </w:rPr>
              <w:t xml:space="preserve">Celkové hodnocení kvality studijního prostředí, které zahrnuje oblasti (1) relevance pro trh práce, </w:t>
            </w:r>
            <w:r w:rsidRPr="00C96F3A">
              <w:rPr>
                <w:rFonts w:ascii="Arial" w:hAnsi="Arial" w:cs="Arial"/>
                <w:sz w:val="20"/>
              </w:rPr>
              <w:br/>
              <w:t>(2) výsledky učení, (3) generické pracovní dovednosti.</w:t>
            </w:r>
          </w:p>
        </w:tc>
      </w:tr>
      <w:tr w:rsidR="0046767D" w:rsidRPr="0058573E" w14:paraId="405D3B40" w14:textId="77777777" w:rsidTr="00F75C3F">
        <w:trPr>
          <w:trHeight w:val="401"/>
        </w:trPr>
        <w:tc>
          <w:tcPr>
            <w:tcW w:w="4238" w:type="dxa"/>
          </w:tcPr>
          <w:p w14:paraId="3DB940D5" w14:textId="77777777" w:rsidR="0046767D" w:rsidRDefault="0046767D" w:rsidP="00133F8B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Cílová skupina</w:t>
            </w:r>
          </w:p>
          <w:p w14:paraId="5D289F33" w14:textId="43D60EBC" w:rsidR="00D9799E" w:rsidRPr="00D9799E" w:rsidRDefault="00D9799E" w:rsidP="00133F8B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20"/>
              </w:rPr>
            </w:pPr>
            <w:r w:rsidRPr="00D9799E">
              <w:rPr>
                <w:rFonts w:ascii="Arial" w:hAnsi="Arial" w:cs="Arial"/>
                <w:i/>
                <w:sz w:val="16"/>
              </w:rPr>
              <w:t>(např. zaměstnavatelé, u nichž jsou zaměstnáni absolventi daného SP, spolupracující firmy, partneři apod.)</w:t>
            </w:r>
          </w:p>
        </w:tc>
        <w:tc>
          <w:tcPr>
            <w:tcW w:w="4802" w:type="dxa"/>
          </w:tcPr>
          <w:p w14:paraId="7A7046E8" w14:textId="222E4FFD" w:rsidR="00BD7170" w:rsidRPr="00C96F3A" w:rsidRDefault="001A22B0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C96F3A">
              <w:rPr>
                <w:rFonts w:ascii="Arial" w:hAnsi="Arial" w:cs="Arial"/>
                <w:sz w:val="20"/>
              </w:rPr>
              <w:t>Zaměstnavatelé z oblasti výkonu činností sociální pedagogiky a sociálních služeb.</w:t>
            </w:r>
          </w:p>
        </w:tc>
      </w:tr>
      <w:tr w:rsidR="0046767D" w:rsidRPr="0058573E" w14:paraId="60BCD81A" w14:textId="77777777" w:rsidTr="00F75C3F">
        <w:trPr>
          <w:trHeight w:val="394"/>
        </w:trPr>
        <w:tc>
          <w:tcPr>
            <w:tcW w:w="4238" w:type="dxa"/>
          </w:tcPr>
          <w:p w14:paraId="53B6E196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Způsob sběru dat</w:t>
            </w:r>
          </w:p>
          <w:p w14:paraId="29F92171" w14:textId="77777777" w:rsidR="0046767D" w:rsidRPr="00E8550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E8550E">
              <w:rPr>
                <w:rFonts w:ascii="Arial" w:hAnsi="Arial" w:cs="Arial"/>
                <w:i/>
                <w:sz w:val="16"/>
                <w:szCs w:val="16"/>
              </w:rPr>
              <w:t>(elektronická nebo listinná podoba)</w:t>
            </w:r>
          </w:p>
        </w:tc>
        <w:tc>
          <w:tcPr>
            <w:tcW w:w="4802" w:type="dxa"/>
          </w:tcPr>
          <w:p w14:paraId="5584BFBF" w14:textId="145E8C78" w:rsidR="0046767D" w:rsidRPr="00C96F3A" w:rsidRDefault="001A22B0" w:rsidP="00883AA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C96F3A">
              <w:rPr>
                <w:rFonts w:ascii="Arial" w:hAnsi="Arial" w:cs="Arial"/>
                <w:sz w:val="20"/>
              </w:rPr>
              <w:t xml:space="preserve">Elektronická forma dotazníku prostřednictvím </w:t>
            </w:r>
            <w:r w:rsidR="00883AAF">
              <w:rPr>
                <w:rFonts w:ascii="Arial" w:hAnsi="Arial" w:cs="Arial"/>
                <w:sz w:val="20"/>
              </w:rPr>
              <w:br/>
            </w:r>
            <w:r w:rsidRPr="00C96F3A">
              <w:rPr>
                <w:rFonts w:ascii="Arial" w:hAnsi="Arial" w:cs="Arial"/>
                <w:sz w:val="20"/>
              </w:rPr>
              <w:t>e-mailu</w:t>
            </w:r>
            <w:r w:rsidR="00883AAF">
              <w:rPr>
                <w:rFonts w:ascii="Arial" w:hAnsi="Arial" w:cs="Arial"/>
                <w:sz w:val="20"/>
              </w:rPr>
              <w:t xml:space="preserve"> zaměstnavatelům </w:t>
            </w:r>
            <w:r w:rsidRPr="00C96F3A">
              <w:rPr>
                <w:rFonts w:ascii="Arial" w:hAnsi="Arial" w:cs="Arial"/>
                <w:sz w:val="20"/>
              </w:rPr>
              <w:t xml:space="preserve">daného studijního </w:t>
            </w:r>
            <w:r w:rsidR="00883AAF">
              <w:rPr>
                <w:rFonts w:ascii="Arial" w:hAnsi="Arial" w:cs="Arial"/>
                <w:sz w:val="20"/>
              </w:rPr>
              <w:t>programu Sociální pedagogika.</w:t>
            </w:r>
          </w:p>
        </w:tc>
      </w:tr>
      <w:tr w:rsidR="0046767D" w:rsidRPr="0058573E" w14:paraId="3ED12AD4" w14:textId="77777777" w:rsidTr="00F75C3F">
        <w:trPr>
          <w:trHeight w:val="50"/>
        </w:trPr>
        <w:tc>
          <w:tcPr>
            <w:tcW w:w="4238" w:type="dxa"/>
          </w:tcPr>
          <w:p w14:paraId="47BB55DB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Frekvence sběru dat   </w:t>
            </w:r>
          </w:p>
          <w:p w14:paraId="78D9886C" w14:textId="77777777" w:rsidR="0046767D" w:rsidRPr="00410254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(jednou za semestr, jednou za akademický rok, jednorázový sběr aj.) </w:t>
            </w:r>
          </w:p>
        </w:tc>
        <w:tc>
          <w:tcPr>
            <w:tcW w:w="4802" w:type="dxa"/>
          </w:tcPr>
          <w:p w14:paraId="4C539D95" w14:textId="3C38B770" w:rsidR="0046767D" w:rsidRPr="00C96F3A" w:rsidRDefault="00CD6D6C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C96F3A">
              <w:rPr>
                <w:rFonts w:ascii="Arial" w:hAnsi="Arial" w:cs="Arial"/>
                <w:sz w:val="20"/>
              </w:rPr>
              <w:t>1x za tři roky.</w:t>
            </w:r>
          </w:p>
        </w:tc>
      </w:tr>
      <w:tr w:rsidR="0046767D" w:rsidRPr="0058573E" w14:paraId="5B524DAB" w14:textId="77777777" w:rsidTr="00F75C3F">
        <w:trPr>
          <w:trHeight w:val="50"/>
        </w:trPr>
        <w:tc>
          <w:tcPr>
            <w:tcW w:w="4238" w:type="dxa"/>
          </w:tcPr>
          <w:p w14:paraId="7964EEB7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Návratnost dotazníků</w:t>
            </w:r>
          </w:p>
        </w:tc>
        <w:tc>
          <w:tcPr>
            <w:tcW w:w="4802" w:type="dxa"/>
          </w:tcPr>
          <w:p w14:paraId="3026CB4E" w14:textId="72E9F19A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6767D" w:rsidRPr="0058573E" w14:paraId="19ED9DB9" w14:textId="77777777" w:rsidTr="00F75C3F">
        <w:trPr>
          <w:trHeight w:val="50"/>
        </w:trPr>
        <w:tc>
          <w:tcPr>
            <w:tcW w:w="9040" w:type="dxa"/>
            <w:gridSpan w:val="2"/>
          </w:tcPr>
          <w:p w14:paraId="7F7A8D42" w14:textId="77777777" w:rsidR="0046767D" w:rsidRPr="0043058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Dostupnost výsledků hodnocení pro akademické pracovníky a veřejnost </w:t>
            </w:r>
          </w:p>
          <w:p w14:paraId="1B8A0BA6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D597A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způsob</w:t>
            </w:r>
            <w:r>
              <w:rPr>
                <w:rFonts w:ascii="Arial" w:hAnsi="Arial" w:cs="Arial"/>
                <w:i/>
                <w:sz w:val="16"/>
                <w:szCs w:val="16"/>
              </w:rPr>
              <w:t>u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 xml:space="preserve"> sdílení a prezentace výsledků</w:t>
            </w:r>
            <w:r>
              <w:rPr>
                <w:rFonts w:ascii="Arial" w:hAnsi="Arial" w:cs="Arial"/>
                <w:i/>
                <w:sz w:val="16"/>
                <w:szCs w:val="16"/>
              </w:rPr>
              <w:t>, např. souhrnná zpráva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46767D" w:rsidRPr="0058573E" w14:paraId="661AD7F1" w14:textId="77777777" w:rsidTr="00F75C3F">
        <w:trPr>
          <w:trHeight w:val="1787"/>
        </w:trPr>
        <w:tc>
          <w:tcPr>
            <w:tcW w:w="9040" w:type="dxa"/>
            <w:gridSpan w:val="2"/>
          </w:tcPr>
          <w:p w14:paraId="4BC88172" w14:textId="4B641597" w:rsidR="0046767D" w:rsidRPr="0058573E" w:rsidRDefault="00CD6D6C" w:rsidP="00975433">
            <w:pPr>
              <w:pStyle w:val="Bezmezer"/>
              <w:spacing w:before="40" w:after="40"/>
              <w:rPr>
                <w:rFonts w:ascii="Arial" w:hAnsi="Arial" w:cs="Arial"/>
                <w:sz w:val="20"/>
              </w:rPr>
            </w:pPr>
            <w:r w:rsidRPr="0046767D">
              <w:rPr>
                <w:rFonts w:ascii="Arial" w:hAnsi="Arial" w:cs="Arial"/>
                <w:sz w:val="20"/>
              </w:rPr>
              <w:t>Zpráva o vnitřním hodnocení kvality vzdělávací, tvůrčí a s nimi souvisejících činností Univerzity Tomáše Bati ve Zlíně</w:t>
            </w:r>
            <w:r>
              <w:rPr>
                <w:rFonts w:ascii="Arial" w:hAnsi="Arial" w:cs="Arial"/>
                <w:sz w:val="20"/>
              </w:rPr>
              <w:t xml:space="preserve"> a její každoroční aktualizace v Dodatcích</w:t>
            </w:r>
            <w:r w:rsidRPr="0046767D">
              <w:rPr>
                <w:rFonts w:ascii="Arial" w:hAnsi="Arial" w:cs="Arial"/>
                <w:sz w:val="20"/>
              </w:rPr>
              <w:t>.</w:t>
            </w:r>
          </w:p>
        </w:tc>
      </w:tr>
      <w:tr w:rsidR="0046767D" w:rsidRPr="0058573E" w14:paraId="2C59E081" w14:textId="77777777" w:rsidTr="00F75C3F">
        <w:trPr>
          <w:trHeight w:val="50"/>
        </w:trPr>
        <w:tc>
          <w:tcPr>
            <w:tcW w:w="9040" w:type="dxa"/>
            <w:gridSpan w:val="2"/>
          </w:tcPr>
          <w:p w14:paraId="2EDB171D" w14:textId="77777777" w:rsidR="0046767D" w:rsidRPr="0043058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26126FDB" w14:textId="77777777" w:rsidR="0046767D" w:rsidRPr="00EC0854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46767D" w:rsidRPr="0058573E" w14:paraId="05A98E97" w14:textId="77777777" w:rsidTr="00CC3EBB">
        <w:trPr>
          <w:trHeight w:val="1683"/>
        </w:trPr>
        <w:tc>
          <w:tcPr>
            <w:tcW w:w="9040" w:type="dxa"/>
            <w:gridSpan w:val="2"/>
          </w:tcPr>
          <w:p w14:paraId="0F067455" w14:textId="5067CBCF" w:rsidR="0046767D" w:rsidRPr="0058573E" w:rsidRDefault="00883AAF" w:rsidP="00975433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Výsledky jsou prezentovány a diskutovány na poradě Ústavu pedagogických věd. S výsledky jsou seznámeni členové Akademického senátu FHS.</w:t>
            </w:r>
          </w:p>
        </w:tc>
      </w:tr>
      <w:tr w:rsidR="0046767D" w:rsidRPr="0058573E" w14:paraId="7B7119C3" w14:textId="77777777" w:rsidTr="00F75C3F">
        <w:trPr>
          <w:trHeight w:val="50"/>
        </w:trPr>
        <w:tc>
          <w:tcPr>
            <w:tcW w:w="9040" w:type="dxa"/>
            <w:gridSpan w:val="2"/>
          </w:tcPr>
          <w:p w14:paraId="54CFE2B0" w14:textId="77777777" w:rsidR="0046767D" w:rsidRPr="0043058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46385DBE" w14:textId="77777777" w:rsidR="0046767D" w:rsidRPr="00AC4575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účinná)</w:t>
            </w:r>
          </w:p>
        </w:tc>
      </w:tr>
      <w:tr w:rsidR="0046767D" w:rsidRPr="0058573E" w14:paraId="4E65019B" w14:textId="77777777" w:rsidTr="00F75C3F">
        <w:trPr>
          <w:trHeight w:val="1812"/>
        </w:trPr>
        <w:tc>
          <w:tcPr>
            <w:tcW w:w="9040" w:type="dxa"/>
            <w:gridSpan w:val="2"/>
          </w:tcPr>
          <w:p w14:paraId="3CF64294" w14:textId="75BA59B8" w:rsidR="0046767D" w:rsidRPr="0058573E" w:rsidRDefault="002610FF" w:rsidP="00975433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Průměrné hodnocení studijního programu zaměstnavateli je 3,5 (1 = min. kladné hodnocení </w:t>
            </w:r>
            <w:r w:rsidR="007A07B5"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t xml:space="preserve">a 5 = max. kladné hodnocení). Nejlépe hodnocené jsou schopnosti absolventů pracovat v týmu, přizpůsobovat se potřebám organizace a schopnost osvojovat si nové informace a celkový potenciál studijního programu umožňující uplatnění na trhu práce. Nižší hodnocení směřuje k aktivnímu užívání cizích jazyků a schopnostem </w:t>
            </w:r>
            <w:r w:rsidRPr="002610FF">
              <w:rPr>
                <w:rFonts w:ascii="Arial" w:hAnsi="Arial" w:cs="Arial"/>
                <w:sz w:val="20"/>
              </w:rPr>
              <w:t>rozpoznat priority v řešení úkolů včetně ekonomických aspektů</w:t>
            </w:r>
            <w:r>
              <w:rPr>
                <w:rFonts w:ascii="Arial" w:hAnsi="Arial" w:cs="Arial"/>
                <w:sz w:val="20"/>
              </w:rPr>
              <w:t>. Hodnocení jazykových schopno</w:t>
            </w:r>
            <w:r w:rsidR="007A07B5">
              <w:rPr>
                <w:rFonts w:ascii="Arial" w:hAnsi="Arial" w:cs="Arial"/>
                <w:sz w:val="20"/>
              </w:rPr>
              <w:t xml:space="preserve">stí může být zkresleno tím, že oblast sociální pedagogiky </w:t>
            </w:r>
            <w:r w:rsidR="00C96F3A">
              <w:rPr>
                <w:rFonts w:ascii="Arial" w:hAnsi="Arial" w:cs="Arial"/>
                <w:sz w:val="20"/>
              </w:rPr>
              <w:br/>
            </w:r>
            <w:r w:rsidR="007A07B5">
              <w:rPr>
                <w:rFonts w:ascii="Arial" w:hAnsi="Arial" w:cs="Arial"/>
                <w:sz w:val="20"/>
              </w:rPr>
              <w:t>(např. oblast mimoškolních aktivit dětí) a sociálních služeb (např. domovy pro seniory) u nás postrádá mezinárodní rozměr a k uplatňování cizojazyčných dovedností ani nedochází. Přes tuto skutečnost patří osvojování si cizojazyčných dovedností během studia nadále k prioritám. Obsahy výuky cizích jazyků budou i nadále modifikovány s cílem co nejužšího propojení s praxí.</w:t>
            </w:r>
          </w:p>
        </w:tc>
      </w:tr>
    </w:tbl>
    <w:p w14:paraId="13FB68FC" w14:textId="77777777" w:rsidR="004E7679" w:rsidRPr="00584C31" w:rsidRDefault="004E7679" w:rsidP="004E7679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 xml:space="preserve">Poznámka: Pro každý další typ hodnocení (typ 2 atd.) se vkládá nová tabulka.    </w:t>
      </w:r>
    </w:p>
    <w:p w14:paraId="261E0798" w14:textId="0DBCD79A" w:rsidR="0046767D" w:rsidRDefault="0046767D" w:rsidP="0046767D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D</w:t>
      </w:r>
      <w:r>
        <w:rPr>
          <w:sz w:val="16"/>
          <w:szCs w:val="16"/>
          <w:vertAlign w:val="subscript"/>
        </w:rPr>
        <w:t>2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2EF73E93" w14:textId="77777777" w:rsidR="004E7679" w:rsidRDefault="004E7679" w:rsidP="004E7679">
      <w:pPr>
        <w:ind w:right="454"/>
        <w:rPr>
          <w:rFonts w:cs="Arial"/>
          <w:color w:val="7030A0"/>
          <w:sz w:val="32"/>
          <w:szCs w:val="32"/>
        </w:rPr>
      </w:pPr>
    </w:p>
    <w:p w14:paraId="2218343C" w14:textId="77777777" w:rsidR="004E7679" w:rsidRDefault="004E7679" w:rsidP="00D55098">
      <w:pPr>
        <w:pStyle w:val="Bezmezer"/>
        <w:ind w:right="283"/>
        <w:rPr>
          <w:rFonts w:ascii="Arial" w:hAnsi="Arial" w:cs="Arial"/>
          <w:color w:val="C45911" w:themeColor="accent2" w:themeShade="BF"/>
          <w:sz w:val="32"/>
          <w:szCs w:val="32"/>
        </w:rPr>
      </w:pPr>
    </w:p>
    <w:p w14:paraId="1E46B416" w14:textId="2BCAD106" w:rsidR="00D55098" w:rsidRPr="00CC3EBB" w:rsidRDefault="00F75C3F" w:rsidP="00CC3EBB">
      <w:pPr>
        <w:spacing w:after="160" w:line="259" w:lineRule="auto"/>
        <w:rPr>
          <w:rFonts w:cs="Arial"/>
          <w:color w:val="C45911" w:themeColor="accent2" w:themeShade="BF"/>
          <w:sz w:val="32"/>
          <w:szCs w:val="32"/>
        </w:rPr>
      </w:pPr>
      <w:r w:rsidRPr="00F75C3F">
        <w:rPr>
          <w:rFonts w:cs="Arial"/>
          <w:b/>
          <w:color w:val="C45911" w:themeColor="accent2" w:themeShade="BF"/>
          <w:sz w:val="32"/>
          <w:szCs w:val="32"/>
        </w:rPr>
        <w:t xml:space="preserve">Část 3.) </w:t>
      </w:r>
      <w:r w:rsidR="006072F1" w:rsidRPr="00F75C3F">
        <w:rPr>
          <w:rFonts w:cs="Arial"/>
          <w:b/>
          <w:color w:val="C45911" w:themeColor="accent2" w:themeShade="BF"/>
          <w:sz w:val="32"/>
          <w:szCs w:val="32"/>
        </w:rPr>
        <w:t>T</w:t>
      </w:r>
      <w:r w:rsidR="00D55098" w:rsidRPr="00F75C3F">
        <w:rPr>
          <w:rFonts w:cs="Arial"/>
          <w:b/>
          <w:color w:val="C45911" w:themeColor="accent2" w:themeShade="BF"/>
          <w:sz w:val="32"/>
          <w:szCs w:val="32"/>
        </w:rPr>
        <w:t>vůrčí činnosti</w:t>
      </w:r>
      <w:r w:rsidR="00743EE4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 související se vzdělávací činností</w:t>
      </w:r>
    </w:p>
    <w:p w14:paraId="77B5F0A1" w14:textId="48576B8F" w:rsidR="00D55098" w:rsidRDefault="00D55098" w:rsidP="00B769CE">
      <w:pPr>
        <w:ind w:right="454"/>
        <w:rPr>
          <w:rFonts w:cs="Arial"/>
          <w:color w:val="7030A0"/>
        </w:rPr>
      </w:pPr>
    </w:p>
    <w:p w14:paraId="5832832B" w14:textId="03237740" w:rsidR="00E4296B" w:rsidRPr="006965DC" w:rsidRDefault="00E4296B" w:rsidP="00B769CE">
      <w:pPr>
        <w:ind w:right="454"/>
        <w:rPr>
          <w:rFonts w:cs="Arial"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4D4B61" w:rsidRPr="0058573E" w14:paraId="7F191FDB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5045DD76" w14:textId="6FA08A36" w:rsidR="004D4B61" w:rsidRPr="00EE039E" w:rsidRDefault="004D4B6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Popis tvůrčí činnosti související se vzdělávací činností</w:t>
            </w:r>
          </w:p>
          <w:p w14:paraId="234DEA10" w14:textId="127C6F08" w:rsidR="004D4B61" w:rsidRPr="00AC4575" w:rsidRDefault="004D4B61" w:rsidP="0071091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popi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s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t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vůrčí činnosti promítající se do vzdělávací činnosti</w:t>
            </w:r>
            <w:r w:rsidR="00EB143E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710916" w:rsidRPr="009A5A6E">
              <w:rPr>
                <w:rFonts w:ascii="Arial" w:hAnsi="Arial" w:cs="Arial"/>
                <w:i/>
                <w:sz w:val="16"/>
                <w:szCs w:val="16"/>
              </w:rPr>
              <w:t>v letech RRRR-3 až RRRR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projekt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, konferenc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, workshop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965EA3">
              <w:rPr>
                <w:rFonts w:ascii="Arial" w:hAnsi="Arial" w:cs="Arial"/>
                <w:i/>
                <w:sz w:val="16"/>
                <w:szCs w:val="16"/>
              </w:rPr>
              <w:t>výstav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965EA3">
              <w:rPr>
                <w:rFonts w:ascii="Arial" w:hAnsi="Arial" w:cs="Arial"/>
                <w:i/>
                <w:sz w:val="16"/>
                <w:szCs w:val="16"/>
              </w:rPr>
              <w:t>, koncert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965EA3"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 xml:space="preserve"> studijní opor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>, skript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a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>, učebnic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>, didaktick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é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 xml:space="preserve"> pomůck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 xml:space="preserve"> aj.</w:t>
            </w:r>
            <w:r w:rsidR="005F3E2E">
              <w:rPr>
                <w:rFonts w:ascii="Arial" w:hAnsi="Arial" w:cs="Arial"/>
                <w:i/>
                <w:sz w:val="16"/>
                <w:szCs w:val="16"/>
              </w:rPr>
              <w:t xml:space="preserve"> – max. 3000 znaků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4D4B61" w:rsidRPr="0058573E" w14:paraId="3EADD762" w14:textId="77777777" w:rsidTr="00691411">
        <w:trPr>
          <w:trHeight w:val="2978"/>
        </w:trPr>
        <w:tc>
          <w:tcPr>
            <w:tcW w:w="9040" w:type="dxa"/>
          </w:tcPr>
          <w:p w14:paraId="215AB443" w14:textId="21071C42" w:rsidR="004D4B61" w:rsidRPr="00096A70" w:rsidRDefault="005A3B22" w:rsidP="00975433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  <w:r w:rsidRPr="005A3B22">
              <w:rPr>
                <w:rFonts w:ascii="Arial" w:hAnsi="Arial" w:cs="Arial"/>
                <w:sz w:val="20"/>
              </w:rPr>
              <w:t>V letech</w:t>
            </w:r>
            <w:r>
              <w:rPr>
                <w:rFonts w:ascii="Arial" w:hAnsi="Arial" w:cs="Arial"/>
                <w:sz w:val="20"/>
              </w:rPr>
              <w:t xml:space="preserve"> 2020 – 2024 byly na Ústavu </w:t>
            </w:r>
            <w:r w:rsidR="00D4193D">
              <w:rPr>
                <w:rFonts w:ascii="Arial" w:hAnsi="Arial" w:cs="Arial"/>
                <w:sz w:val="20"/>
              </w:rPr>
              <w:t xml:space="preserve">pedagogických věd </w:t>
            </w:r>
            <w:r>
              <w:rPr>
                <w:rFonts w:ascii="Arial" w:hAnsi="Arial" w:cs="Arial"/>
                <w:sz w:val="20"/>
              </w:rPr>
              <w:t xml:space="preserve">řešeny tyto výzkumné projekty: </w:t>
            </w:r>
            <w:r w:rsidRPr="005A3B22">
              <w:rPr>
                <w:rFonts w:ascii="Arial" w:hAnsi="Arial" w:cs="Arial"/>
                <w:b/>
                <w:sz w:val="20"/>
              </w:rPr>
              <w:t>GA ČR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5A3B22">
              <w:rPr>
                <w:rFonts w:ascii="Arial" w:hAnsi="Arial" w:cs="Arial"/>
                <w:i/>
                <w:sz w:val="20"/>
              </w:rPr>
              <w:t>Seberegulace digitálního chování dětí</w:t>
            </w:r>
            <w:r>
              <w:rPr>
                <w:rFonts w:ascii="Arial" w:hAnsi="Arial" w:cs="Arial"/>
                <w:sz w:val="20"/>
              </w:rPr>
              <w:t xml:space="preserve"> (Mgr. Karla Hrbáčková, Ph.D., doc. Mgr. Jakub Hladík, Ph.D., Mgr. Anna Petr Šafránková, Ph.D., Mgr. Jana Martincová, Ph.D., MBA, Mgr. Julie Junaštíková). </w:t>
            </w:r>
            <w:r w:rsidRPr="005A3B22">
              <w:rPr>
                <w:rFonts w:ascii="Arial" w:hAnsi="Arial" w:cs="Arial"/>
                <w:b/>
                <w:sz w:val="20"/>
              </w:rPr>
              <w:t>Fond strategického rozvoje UTB</w:t>
            </w:r>
            <w:r>
              <w:rPr>
                <w:rFonts w:ascii="Arial" w:hAnsi="Arial" w:cs="Arial"/>
                <w:b/>
                <w:sz w:val="20"/>
              </w:rPr>
              <w:t xml:space="preserve">  </w:t>
            </w:r>
            <w:r w:rsidRPr="005A3B22">
              <w:rPr>
                <w:rFonts w:ascii="Arial" w:hAnsi="Arial" w:cs="Arial"/>
                <w:i/>
                <w:sz w:val="20"/>
              </w:rPr>
              <w:t>Kolektivní (ne)důvěra žáků ke škole: analýza regionálních nerovností českých škol</w:t>
            </w:r>
            <w:r>
              <w:rPr>
                <w:rFonts w:ascii="Arial" w:hAnsi="Arial" w:cs="Arial"/>
                <w:i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</w:t>
            </w:r>
            <w:r w:rsidR="00096A70">
              <w:rPr>
                <w:rFonts w:ascii="Arial" w:hAnsi="Arial" w:cs="Arial"/>
                <w:sz w:val="20"/>
              </w:rPr>
              <w:t xml:space="preserve">Mgr. Karla Hrbáčková, Ph.D., doc. Mgr. Jakub Hladík, Ph.D., Mgr. Anna Petr Šafránková, Ph.D., Mgr. Lucie Cejpek Blaštíková, Ph.D., PhDr. Zuzana Hrnčiříková, Ph.D.). </w:t>
            </w:r>
            <w:r w:rsidR="00096A70" w:rsidRPr="00096A70">
              <w:rPr>
                <w:rFonts w:ascii="Arial" w:hAnsi="Arial" w:cs="Arial"/>
                <w:sz w:val="20"/>
              </w:rPr>
              <w:t>Projekt po</w:t>
            </w:r>
            <w:r w:rsidR="00096A70">
              <w:rPr>
                <w:rFonts w:ascii="Arial" w:hAnsi="Arial" w:cs="Arial"/>
                <w:sz w:val="20"/>
              </w:rPr>
              <w:t xml:space="preserve">dpořený </w:t>
            </w:r>
            <w:r w:rsidR="00096A70" w:rsidRPr="00096A70">
              <w:rPr>
                <w:rFonts w:ascii="Arial" w:hAnsi="Arial" w:cs="Arial"/>
                <w:b/>
                <w:sz w:val="20"/>
              </w:rPr>
              <w:t>Nadací České spořitelny</w:t>
            </w:r>
            <w:r w:rsidR="00096A70">
              <w:rPr>
                <w:rFonts w:ascii="Arial" w:hAnsi="Arial" w:cs="Arial"/>
                <w:sz w:val="20"/>
              </w:rPr>
              <w:t xml:space="preserve">. </w:t>
            </w:r>
            <w:r w:rsidR="00096A70" w:rsidRPr="00096A70">
              <w:rPr>
                <w:rFonts w:ascii="Arial" w:hAnsi="Arial" w:cs="Arial"/>
                <w:i/>
                <w:sz w:val="20"/>
              </w:rPr>
              <w:t>Pilotní fáze projektu Zhodnocení přínosu konstruktivistických metod výuky v programu Začít spolu</w:t>
            </w:r>
            <w:r w:rsidR="00096A70">
              <w:rPr>
                <w:rFonts w:ascii="Arial" w:hAnsi="Arial" w:cs="Arial"/>
                <w:sz w:val="20"/>
              </w:rPr>
              <w:t xml:space="preserve"> (PhDr. Denisa Denglerová, Ph.D., Mgr. Karla Hrbáčková, Ph.D.). </w:t>
            </w:r>
            <w:r w:rsidR="00096A70" w:rsidRPr="00096A70">
              <w:rPr>
                <w:rFonts w:ascii="Arial" w:hAnsi="Arial" w:cs="Arial"/>
                <w:b/>
                <w:sz w:val="20"/>
              </w:rPr>
              <w:t>IGA</w:t>
            </w:r>
            <w:r w:rsidR="00096A70">
              <w:rPr>
                <w:rFonts w:ascii="Arial" w:hAnsi="Arial" w:cs="Arial"/>
                <w:sz w:val="20"/>
              </w:rPr>
              <w:t xml:space="preserve"> </w:t>
            </w:r>
            <w:r w:rsidR="00096A70" w:rsidRPr="00096A70">
              <w:rPr>
                <w:rFonts w:ascii="Arial" w:hAnsi="Arial" w:cs="Arial"/>
                <w:i/>
                <w:sz w:val="20"/>
              </w:rPr>
              <w:t>Akademické prostředí: úspěch a stres</w:t>
            </w:r>
            <w:r w:rsidR="00096A70">
              <w:rPr>
                <w:rFonts w:ascii="Arial" w:hAnsi="Arial" w:cs="Arial"/>
                <w:sz w:val="20"/>
              </w:rPr>
              <w:t xml:space="preserve"> (Mgr. Jana Martincová, Ph.D., MBA, PhDr. Hana Včelařová, Ph.D.); </w:t>
            </w:r>
            <w:r w:rsidR="00096A70" w:rsidRPr="00883AAF">
              <w:rPr>
                <w:rFonts w:ascii="Arial" w:hAnsi="Arial" w:cs="Arial"/>
                <w:i/>
                <w:sz w:val="20"/>
              </w:rPr>
              <w:t>Determinanty autoregulace učení žáků středních škol</w:t>
            </w:r>
            <w:r w:rsidR="00096A70">
              <w:rPr>
                <w:rFonts w:ascii="Arial" w:hAnsi="Arial" w:cs="Arial"/>
                <w:sz w:val="20"/>
              </w:rPr>
              <w:t xml:space="preserve"> (doc. Mgr. Jakub Hladík, Ph.D., Mgr. Julie Junaštíková); </w:t>
            </w:r>
            <w:r w:rsidR="00096A70" w:rsidRPr="00883AAF">
              <w:rPr>
                <w:rFonts w:ascii="Arial" w:hAnsi="Arial" w:cs="Arial"/>
                <w:i/>
                <w:sz w:val="20"/>
              </w:rPr>
              <w:t>Pedagogické aspekty akademického stresu</w:t>
            </w:r>
            <w:r w:rsidR="00096A70">
              <w:rPr>
                <w:rFonts w:ascii="Arial" w:hAnsi="Arial" w:cs="Arial"/>
                <w:sz w:val="20"/>
              </w:rPr>
              <w:t xml:space="preserve"> (Mgr. Jana Martincová, Ph.D., MBA, PhDr. Iva Staňková, Ph.D.). </w:t>
            </w:r>
          </w:p>
          <w:p w14:paraId="2FC23812" w14:textId="296958F6" w:rsidR="00961C70" w:rsidRDefault="00961C70" w:rsidP="00975433">
            <w:pPr>
              <w:pStyle w:val="Bezmezer"/>
              <w:spacing w:before="40" w:after="40"/>
              <w:ind w:right="10"/>
              <w:jc w:val="left"/>
              <w:rPr>
                <w:rFonts w:ascii="Arial" w:hAnsi="Arial" w:cs="Arial"/>
                <w:sz w:val="20"/>
              </w:rPr>
            </w:pPr>
          </w:p>
          <w:p w14:paraId="4986A3BE" w14:textId="7ACF08DB" w:rsidR="00096A70" w:rsidRDefault="00096A70" w:rsidP="00975433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Akademičtí pracovníci Ústavu pedagogických věd se dále</w:t>
            </w:r>
            <w:r w:rsidR="00913D3F">
              <w:rPr>
                <w:rFonts w:ascii="Arial" w:hAnsi="Arial" w:cs="Arial"/>
                <w:sz w:val="20"/>
              </w:rPr>
              <w:t xml:space="preserve"> v tomto období</w:t>
            </w:r>
            <w:r>
              <w:rPr>
                <w:rFonts w:ascii="Arial" w:hAnsi="Arial" w:cs="Arial"/>
                <w:sz w:val="20"/>
              </w:rPr>
              <w:t xml:space="preserve"> podíleli jako členové týmů na projektech, které byly garantovány jinými pracovišti FHS a souvisí se zaměřením vzdělávací činnosti v oblasti sociální pedagogiky.</w:t>
            </w:r>
            <w:r w:rsidR="00913D3F">
              <w:rPr>
                <w:rFonts w:ascii="Arial" w:hAnsi="Arial" w:cs="Arial"/>
                <w:sz w:val="20"/>
              </w:rPr>
              <w:t xml:space="preserve"> </w:t>
            </w:r>
            <w:r w:rsidR="00913D3F" w:rsidRPr="00913D3F">
              <w:rPr>
                <w:rFonts w:ascii="Arial" w:hAnsi="Arial" w:cs="Arial"/>
                <w:b/>
                <w:sz w:val="20"/>
              </w:rPr>
              <w:t>GA ČR</w:t>
            </w:r>
            <w:r w:rsidR="00913D3F">
              <w:rPr>
                <w:rFonts w:ascii="Arial" w:hAnsi="Arial" w:cs="Arial"/>
                <w:b/>
                <w:sz w:val="20"/>
              </w:rPr>
              <w:t xml:space="preserve"> </w:t>
            </w:r>
            <w:r w:rsidR="00913D3F" w:rsidRPr="00913D3F">
              <w:rPr>
                <w:rFonts w:ascii="Arial" w:hAnsi="Arial" w:cs="Arial"/>
                <w:i/>
                <w:sz w:val="20"/>
              </w:rPr>
              <w:t>Bílá místa neformálního vzdělávání dospělých v České republice: Neúč</w:t>
            </w:r>
            <w:r w:rsidR="00913D3F">
              <w:rPr>
                <w:rFonts w:ascii="Arial" w:hAnsi="Arial" w:cs="Arial"/>
                <w:i/>
                <w:sz w:val="20"/>
              </w:rPr>
              <w:t>astníci a jejich sociální světy</w:t>
            </w:r>
            <w:r w:rsidR="00913D3F">
              <w:rPr>
                <w:rFonts w:ascii="Arial" w:hAnsi="Arial" w:cs="Arial"/>
                <w:sz w:val="20"/>
              </w:rPr>
              <w:t xml:space="preserve"> (Mgr. Radana Kroutilová Nováková, Ph.D.) </w:t>
            </w:r>
            <w:r w:rsidR="00913D3F" w:rsidRPr="00913D3F">
              <w:rPr>
                <w:rFonts w:ascii="Arial" w:hAnsi="Arial" w:cs="Arial"/>
                <w:b/>
                <w:sz w:val="20"/>
              </w:rPr>
              <w:t>TA ČR</w:t>
            </w:r>
            <w:r w:rsidR="00913D3F">
              <w:rPr>
                <w:rFonts w:ascii="Arial" w:hAnsi="Arial" w:cs="Arial"/>
                <w:sz w:val="20"/>
              </w:rPr>
              <w:t xml:space="preserve"> </w:t>
            </w:r>
            <w:r w:rsidR="00913D3F" w:rsidRPr="00913D3F">
              <w:rPr>
                <w:rFonts w:ascii="Arial" w:hAnsi="Arial" w:cs="Arial"/>
                <w:i/>
                <w:sz w:val="20"/>
              </w:rPr>
              <w:t>Nálepkování intelektově nadaných dětí ve školním prostředí</w:t>
            </w:r>
            <w:r w:rsidR="00913D3F">
              <w:rPr>
                <w:rFonts w:ascii="Arial" w:hAnsi="Arial" w:cs="Arial"/>
                <w:sz w:val="20"/>
              </w:rPr>
              <w:t xml:space="preserve"> (PhDr. Iva Staňková, Ph.D.).</w:t>
            </w:r>
          </w:p>
          <w:p w14:paraId="7393B137" w14:textId="5AF4EF12" w:rsidR="00CC3BF7" w:rsidRDefault="00CC3BF7" w:rsidP="00975433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</w:p>
          <w:p w14:paraId="7AE97228" w14:textId="7217EC2C" w:rsidR="00CC3BF7" w:rsidRDefault="00CC3BF7" w:rsidP="00975433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Se vzdělávací činností úzce souvisí konference a workshopy, které pracoviště ve sledovaném období organizovalo. K nejvýznamnějším patří: konference Kam kráčí sociální pedagogika v ČR a ve světě (04/2024); </w:t>
            </w:r>
            <w:r w:rsidRPr="00CC3BF7">
              <w:rPr>
                <w:rFonts w:ascii="Arial" w:hAnsi="Arial" w:cs="Arial"/>
                <w:sz w:val="20"/>
              </w:rPr>
              <w:t xml:space="preserve">Konference </w:t>
            </w:r>
            <w:proofErr w:type="spellStart"/>
            <w:r w:rsidRPr="00CC3BF7">
              <w:rPr>
                <w:rFonts w:ascii="Arial" w:hAnsi="Arial" w:cs="Arial"/>
                <w:sz w:val="20"/>
              </w:rPr>
              <w:t>restorativní</w:t>
            </w:r>
            <w:proofErr w:type="spellEnd"/>
            <w:r w:rsidRPr="00CC3BF7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CC3BF7">
              <w:rPr>
                <w:rFonts w:ascii="Arial" w:hAnsi="Arial" w:cs="Arial"/>
                <w:sz w:val="20"/>
              </w:rPr>
              <w:t>retributivní</w:t>
            </w:r>
            <w:proofErr w:type="spellEnd"/>
            <w:r w:rsidRPr="00CC3BF7">
              <w:rPr>
                <w:rFonts w:ascii="Arial" w:hAnsi="Arial" w:cs="Arial"/>
                <w:sz w:val="20"/>
              </w:rPr>
              <w:t xml:space="preserve"> justice</w:t>
            </w:r>
            <w:r>
              <w:rPr>
                <w:rFonts w:ascii="Arial" w:hAnsi="Arial" w:cs="Arial"/>
                <w:sz w:val="20"/>
              </w:rPr>
              <w:t xml:space="preserve"> (11/2023); konference </w:t>
            </w:r>
            <w:r w:rsidRPr="00CC3BF7">
              <w:rPr>
                <w:rFonts w:ascii="Arial" w:hAnsi="Arial" w:cs="Arial"/>
                <w:sz w:val="20"/>
              </w:rPr>
              <w:t>Sociální pedagog jako člen školního poradenského pracoviště</w:t>
            </w:r>
            <w:r>
              <w:rPr>
                <w:rFonts w:ascii="Arial" w:hAnsi="Arial" w:cs="Arial"/>
                <w:sz w:val="20"/>
              </w:rPr>
              <w:t xml:space="preserve"> (04/2022); </w:t>
            </w:r>
            <w:r w:rsidRPr="00CC3BF7">
              <w:rPr>
                <w:rFonts w:ascii="Arial" w:hAnsi="Arial" w:cs="Arial"/>
                <w:sz w:val="20"/>
              </w:rPr>
              <w:t>Demokratická škola - demokratická spol</w:t>
            </w:r>
            <w:r>
              <w:rPr>
                <w:rFonts w:ascii="Arial" w:hAnsi="Arial" w:cs="Arial"/>
                <w:sz w:val="20"/>
              </w:rPr>
              <w:t>ečnost. Workshop pro učitele ZŠ</w:t>
            </w:r>
            <w:r w:rsidRPr="00CC3BF7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(0</w:t>
            </w:r>
            <w:r w:rsidRPr="00CC3BF7">
              <w:rPr>
                <w:rFonts w:ascii="Arial" w:hAnsi="Arial" w:cs="Arial"/>
                <w:sz w:val="20"/>
              </w:rPr>
              <w:t>2/2023</w:t>
            </w:r>
            <w:r>
              <w:rPr>
                <w:rFonts w:ascii="Arial" w:hAnsi="Arial" w:cs="Arial"/>
                <w:sz w:val="20"/>
              </w:rPr>
              <w:t>); workshop</w:t>
            </w:r>
            <w:r w:rsidRPr="00CC3BF7">
              <w:rPr>
                <w:rFonts w:ascii="Arial" w:hAnsi="Arial" w:cs="Arial"/>
                <w:sz w:val="20"/>
              </w:rPr>
              <w:t xml:space="preserve"> Svobodná hra </w:t>
            </w:r>
            <w:proofErr w:type="spellStart"/>
            <w:r w:rsidRPr="00CC3BF7">
              <w:rPr>
                <w:rFonts w:ascii="Arial" w:hAnsi="Arial" w:cs="Arial"/>
                <w:sz w:val="20"/>
              </w:rPr>
              <w:t>děti</w:t>
            </w:r>
            <w:proofErr w:type="spellEnd"/>
            <w:r w:rsidRPr="00CC3BF7">
              <w:rPr>
                <w:rFonts w:ascii="Arial" w:hAnsi="Arial" w:cs="Arial"/>
                <w:sz w:val="20"/>
              </w:rPr>
              <w:t xml:space="preserve">́ jako </w:t>
            </w:r>
            <w:proofErr w:type="spellStart"/>
            <w:r w:rsidRPr="00CC3BF7">
              <w:rPr>
                <w:rFonts w:ascii="Arial" w:hAnsi="Arial" w:cs="Arial"/>
                <w:sz w:val="20"/>
              </w:rPr>
              <w:t>nejpřirozenějši</w:t>
            </w:r>
            <w:proofErr w:type="spellEnd"/>
            <w:r w:rsidRPr="00CC3BF7">
              <w:rPr>
                <w:rFonts w:ascii="Arial" w:hAnsi="Arial" w:cs="Arial"/>
                <w:sz w:val="20"/>
              </w:rPr>
              <w:t>́ f</w:t>
            </w:r>
            <w:r>
              <w:rPr>
                <w:rFonts w:ascii="Arial" w:hAnsi="Arial" w:cs="Arial"/>
                <w:sz w:val="20"/>
              </w:rPr>
              <w:t xml:space="preserve">orma </w:t>
            </w:r>
            <w:proofErr w:type="spellStart"/>
            <w:r>
              <w:rPr>
                <w:rFonts w:ascii="Arial" w:hAnsi="Arial" w:cs="Arial"/>
                <w:sz w:val="20"/>
              </w:rPr>
              <w:t>učeni</w:t>
            </w:r>
            <w:proofErr w:type="spellEnd"/>
            <w:r>
              <w:rPr>
                <w:rFonts w:ascii="Arial" w:hAnsi="Arial" w:cs="Arial"/>
                <w:sz w:val="20"/>
              </w:rPr>
              <w:t>́ (</w:t>
            </w:r>
            <w:r w:rsidR="0062052F">
              <w:rPr>
                <w:rFonts w:ascii="Arial" w:hAnsi="Arial" w:cs="Arial"/>
                <w:sz w:val="20"/>
              </w:rPr>
              <w:t>10/</w:t>
            </w:r>
            <w:r>
              <w:rPr>
                <w:rFonts w:ascii="Arial" w:hAnsi="Arial" w:cs="Arial"/>
                <w:sz w:val="20"/>
              </w:rPr>
              <w:t xml:space="preserve">2022); workshop </w:t>
            </w:r>
            <w:proofErr w:type="spellStart"/>
            <w:r w:rsidRPr="00CC3BF7">
              <w:rPr>
                <w:rFonts w:ascii="Arial" w:hAnsi="Arial" w:cs="Arial"/>
                <w:sz w:val="20"/>
              </w:rPr>
              <w:t>Alternativni</w:t>
            </w:r>
            <w:proofErr w:type="spellEnd"/>
            <w:r w:rsidRPr="00CC3BF7">
              <w:rPr>
                <w:rFonts w:ascii="Arial" w:hAnsi="Arial" w:cs="Arial"/>
                <w:sz w:val="20"/>
              </w:rPr>
              <w:t xml:space="preserve">́ a </w:t>
            </w:r>
            <w:proofErr w:type="spellStart"/>
            <w:r w:rsidRPr="00CC3BF7">
              <w:rPr>
                <w:rFonts w:ascii="Arial" w:hAnsi="Arial" w:cs="Arial"/>
                <w:sz w:val="20"/>
              </w:rPr>
              <w:t>inovativni</w:t>
            </w:r>
            <w:proofErr w:type="spellEnd"/>
            <w:r w:rsidRPr="00CC3BF7">
              <w:rPr>
                <w:rFonts w:ascii="Arial" w:hAnsi="Arial" w:cs="Arial"/>
                <w:sz w:val="20"/>
              </w:rPr>
              <w:t xml:space="preserve">́ </w:t>
            </w:r>
            <w:proofErr w:type="spellStart"/>
            <w:r w:rsidRPr="00CC3BF7">
              <w:rPr>
                <w:rFonts w:ascii="Arial" w:hAnsi="Arial" w:cs="Arial"/>
                <w:sz w:val="20"/>
              </w:rPr>
              <w:t>mateřske</w:t>
            </w:r>
            <w:proofErr w:type="spellEnd"/>
            <w:r w:rsidRPr="00CC3BF7">
              <w:rPr>
                <w:rFonts w:ascii="Arial" w:hAnsi="Arial" w:cs="Arial"/>
                <w:sz w:val="20"/>
              </w:rPr>
              <w:t xml:space="preserve">́ a </w:t>
            </w:r>
            <w:proofErr w:type="spellStart"/>
            <w:r w:rsidRPr="00CC3BF7">
              <w:rPr>
                <w:rFonts w:ascii="Arial" w:hAnsi="Arial" w:cs="Arial"/>
                <w:sz w:val="20"/>
              </w:rPr>
              <w:t>základni</w:t>
            </w:r>
            <w:proofErr w:type="spellEnd"/>
            <w:r w:rsidRPr="00CC3BF7">
              <w:rPr>
                <w:rFonts w:ascii="Arial" w:hAnsi="Arial" w:cs="Arial"/>
                <w:sz w:val="20"/>
              </w:rPr>
              <w:t xml:space="preserve">́ </w:t>
            </w:r>
            <w:proofErr w:type="spellStart"/>
            <w:r w:rsidRPr="00CC3BF7">
              <w:rPr>
                <w:rFonts w:ascii="Arial" w:hAnsi="Arial" w:cs="Arial"/>
                <w:sz w:val="20"/>
              </w:rPr>
              <w:t>školy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(</w:t>
            </w:r>
            <w:r w:rsidR="0062052F">
              <w:rPr>
                <w:rFonts w:ascii="Arial" w:hAnsi="Arial" w:cs="Arial"/>
                <w:sz w:val="20"/>
              </w:rPr>
              <w:t>11/</w:t>
            </w:r>
            <w:r>
              <w:rPr>
                <w:rFonts w:ascii="Arial" w:hAnsi="Arial" w:cs="Arial"/>
                <w:sz w:val="20"/>
              </w:rPr>
              <w:t>2022); s</w:t>
            </w:r>
            <w:r w:rsidRPr="00CC3BF7">
              <w:rPr>
                <w:rFonts w:ascii="Arial" w:hAnsi="Arial" w:cs="Arial"/>
                <w:sz w:val="20"/>
              </w:rPr>
              <w:t>érie přednášek pro studenty Vzdělávací PC hry a interdiscipliná</w:t>
            </w:r>
            <w:r>
              <w:rPr>
                <w:rFonts w:ascii="Arial" w:hAnsi="Arial" w:cs="Arial"/>
                <w:sz w:val="20"/>
              </w:rPr>
              <w:t xml:space="preserve">rní přístup k výuce matematiky </w:t>
            </w:r>
            <w:r w:rsidR="00C26A25">
              <w:rPr>
                <w:rFonts w:ascii="Arial" w:hAnsi="Arial" w:cs="Arial"/>
                <w:sz w:val="20"/>
              </w:rPr>
              <w:t>(</w:t>
            </w:r>
            <w:r w:rsidRPr="00CC3BF7">
              <w:rPr>
                <w:rFonts w:ascii="Arial" w:hAnsi="Arial" w:cs="Arial"/>
                <w:sz w:val="20"/>
              </w:rPr>
              <w:t>10/2023</w:t>
            </w:r>
            <w:r w:rsidR="00C26A25">
              <w:rPr>
                <w:rFonts w:ascii="Arial" w:hAnsi="Arial" w:cs="Arial"/>
                <w:sz w:val="20"/>
              </w:rPr>
              <w:t>).</w:t>
            </w:r>
          </w:p>
          <w:p w14:paraId="356AB030" w14:textId="328B448F" w:rsidR="00C26A25" w:rsidRDefault="00C26A25" w:rsidP="00975433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</w:p>
          <w:p w14:paraId="3C0AD78A" w14:textId="77777777" w:rsidR="0062052F" w:rsidRDefault="00C26A25" w:rsidP="00975433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="000E112B">
              <w:rPr>
                <w:rFonts w:ascii="Arial" w:hAnsi="Arial" w:cs="Arial"/>
                <w:sz w:val="20"/>
              </w:rPr>
              <w:t> </w:t>
            </w:r>
            <w:r w:rsidR="000E112B" w:rsidRPr="000E112B">
              <w:rPr>
                <w:rFonts w:ascii="Arial" w:hAnsi="Arial" w:cs="Arial"/>
                <w:b/>
                <w:sz w:val="20"/>
              </w:rPr>
              <w:t xml:space="preserve">vybraným </w:t>
            </w:r>
            <w:r w:rsidRPr="000E112B">
              <w:rPr>
                <w:rFonts w:ascii="Arial" w:hAnsi="Arial" w:cs="Arial"/>
                <w:b/>
                <w:sz w:val="20"/>
              </w:rPr>
              <w:t>nejvýznamnějším</w:t>
            </w:r>
            <w:r>
              <w:rPr>
                <w:rFonts w:ascii="Arial" w:hAnsi="Arial" w:cs="Arial"/>
                <w:sz w:val="20"/>
              </w:rPr>
              <w:t xml:space="preserve"> publikačním výstupům v daném období patří: </w:t>
            </w:r>
          </w:p>
          <w:p w14:paraId="32213649" w14:textId="4D7BD24D" w:rsidR="0062052F" w:rsidRDefault="00C26A25" w:rsidP="0062052F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  <w:proofErr w:type="spellStart"/>
            <w:r w:rsidRPr="00C26A25">
              <w:rPr>
                <w:rFonts w:ascii="Arial" w:hAnsi="Arial" w:cs="Arial"/>
                <w:sz w:val="20"/>
              </w:rPr>
              <w:t>Hladik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 xml:space="preserve">, J., </w:t>
            </w:r>
            <w:proofErr w:type="spellStart"/>
            <w:r w:rsidRPr="00C26A25">
              <w:rPr>
                <w:rFonts w:ascii="Arial" w:hAnsi="Arial" w:cs="Arial"/>
                <w:sz w:val="20"/>
              </w:rPr>
              <w:t>Hrbackova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>, K., &amp; Pe</w:t>
            </w:r>
            <w:r w:rsidR="0062052F">
              <w:rPr>
                <w:rFonts w:ascii="Arial" w:hAnsi="Arial" w:cs="Arial"/>
                <w:sz w:val="20"/>
              </w:rPr>
              <w:t xml:space="preserve">tr </w:t>
            </w:r>
            <w:proofErr w:type="spellStart"/>
            <w:r w:rsidR="0062052F">
              <w:rPr>
                <w:rFonts w:ascii="Arial" w:hAnsi="Arial" w:cs="Arial"/>
                <w:sz w:val="20"/>
              </w:rPr>
              <w:t>Safrankova</w:t>
            </w:r>
            <w:proofErr w:type="spellEnd"/>
            <w:r w:rsidR="0062052F">
              <w:rPr>
                <w:rFonts w:ascii="Arial" w:hAnsi="Arial" w:cs="Arial"/>
                <w:sz w:val="20"/>
              </w:rPr>
              <w:t xml:space="preserve">, A. (2024). Peer </w:t>
            </w:r>
            <w:proofErr w:type="spellStart"/>
            <w:r w:rsidR="0062052F">
              <w:rPr>
                <w:rFonts w:ascii="Arial" w:hAnsi="Arial" w:cs="Arial"/>
                <w:sz w:val="20"/>
              </w:rPr>
              <w:t>Interaction</w:t>
            </w:r>
            <w:proofErr w:type="spellEnd"/>
            <w:r w:rsidR="0062052F">
              <w:rPr>
                <w:rFonts w:ascii="Arial" w:hAnsi="Arial" w:cs="Arial"/>
                <w:sz w:val="20"/>
              </w:rPr>
              <w:t xml:space="preserve"> in </w:t>
            </w:r>
            <w:proofErr w:type="spellStart"/>
            <w:r w:rsidR="0062052F">
              <w:rPr>
                <w:rFonts w:ascii="Arial" w:hAnsi="Arial" w:cs="Arial"/>
                <w:sz w:val="20"/>
              </w:rPr>
              <w:t>Class</w:t>
            </w:r>
            <w:proofErr w:type="spellEnd"/>
            <w:r w:rsidR="0062052F">
              <w:rPr>
                <w:rFonts w:ascii="Arial" w:hAnsi="Arial" w:cs="Arial"/>
                <w:sz w:val="20"/>
              </w:rPr>
              <w:t xml:space="preserve">: </w:t>
            </w:r>
            <w:proofErr w:type="spellStart"/>
            <w:r w:rsidR="0062052F">
              <w:rPr>
                <w:rFonts w:ascii="Arial" w:hAnsi="Arial" w:cs="Arial"/>
                <w:sz w:val="20"/>
              </w:rPr>
              <w:t>Exploring</w:t>
            </w:r>
            <w:proofErr w:type="spellEnd"/>
            <w:r w:rsidR="0062052F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62052F">
              <w:rPr>
                <w:rFonts w:ascii="Arial" w:hAnsi="Arial" w:cs="Arial"/>
                <w:sz w:val="20"/>
              </w:rPr>
              <w:t>students</w:t>
            </w:r>
            <w:proofErr w:type="spellEnd"/>
            <w:r w:rsidR="0062052F">
              <w:rPr>
                <w:rFonts w:ascii="Arial" w:hAnsi="Arial" w:cs="Arial"/>
                <w:sz w:val="20"/>
              </w:rPr>
              <w:t xml:space="preserve">’ </w:t>
            </w:r>
            <w:proofErr w:type="spellStart"/>
            <w:r w:rsidR="0062052F">
              <w:rPr>
                <w:rFonts w:ascii="Arial" w:hAnsi="Arial" w:cs="Arial"/>
                <w:sz w:val="20"/>
              </w:rPr>
              <w:t>S</w:t>
            </w:r>
            <w:r w:rsidRPr="00C26A25">
              <w:rPr>
                <w:rFonts w:ascii="Arial" w:hAnsi="Arial" w:cs="Arial"/>
                <w:sz w:val="20"/>
              </w:rPr>
              <w:t>elf-regulati</w:t>
            </w:r>
            <w:r w:rsidR="0062052F">
              <w:rPr>
                <w:rFonts w:ascii="Arial" w:hAnsi="Arial" w:cs="Arial"/>
                <w:sz w:val="20"/>
              </w:rPr>
              <w:t>on</w:t>
            </w:r>
            <w:proofErr w:type="spellEnd"/>
            <w:r w:rsidR="0062052F">
              <w:rPr>
                <w:rFonts w:ascii="Arial" w:hAnsi="Arial" w:cs="Arial"/>
                <w:sz w:val="20"/>
              </w:rPr>
              <w:t xml:space="preserve"> in </w:t>
            </w:r>
            <w:proofErr w:type="spellStart"/>
            <w:r w:rsidR="0062052F">
              <w:rPr>
                <w:rFonts w:ascii="Arial" w:hAnsi="Arial" w:cs="Arial"/>
                <w:sz w:val="20"/>
              </w:rPr>
              <w:t>R</w:t>
            </w:r>
            <w:r w:rsidRPr="00C26A25">
              <w:rPr>
                <w:rFonts w:ascii="Arial" w:hAnsi="Arial" w:cs="Arial"/>
                <w:sz w:val="20"/>
              </w:rPr>
              <w:t>elation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 xml:space="preserve"> to </w:t>
            </w:r>
            <w:r w:rsidR="0062052F">
              <w:rPr>
                <w:rFonts w:ascii="Arial" w:hAnsi="Arial" w:cs="Arial"/>
                <w:sz w:val="20"/>
              </w:rPr>
              <w:t xml:space="preserve">Peer </w:t>
            </w:r>
            <w:proofErr w:type="spellStart"/>
            <w:r w:rsidR="0062052F">
              <w:rPr>
                <w:rFonts w:ascii="Arial" w:hAnsi="Arial" w:cs="Arial"/>
                <w:sz w:val="20"/>
              </w:rPr>
              <w:t>Acceptance</w:t>
            </w:r>
            <w:proofErr w:type="spellEnd"/>
            <w:r w:rsidR="0062052F">
              <w:rPr>
                <w:rFonts w:ascii="Arial" w:hAnsi="Arial" w:cs="Arial"/>
                <w:sz w:val="20"/>
              </w:rPr>
              <w:t xml:space="preserve"> and </w:t>
            </w:r>
            <w:proofErr w:type="spellStart"/>
            <w:r w:rsidR="0062052F">
              <w:rPr>
                <w:rFonts w:ascii="Arial" w:hAnsi="Arial" w:cs="Arial"/>
                <w:sz w:val="20"/>
              </w:rPr>
              <w:t>R</w:t>
            </w:r>
            <w:r w:rsidRPr="00C26A25">
              <w:rPr>
                <w:rFonts w:ascii="Arial" w:hAnsi="Arial" w:cs="Arial"/>
                <w:sz w:val="20"/>
              </w:rPr>
              <w:t>ejection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 xml:space="preserve">. </w:t>
            </w:r>
            <w:r w:rsidRPr="00C26A25">
              <w:rPr>
                <w:rFonts w:ascii="Arial" w:hAnsi="Arial" w:cs="Arial"/>
                <w:i/>
                <w:sz w:val="20"/>
              </w:rPr>
              <w:t>Cogent Education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90269E">
              <w:rPr>
                <w:rFonts w:ascii="Arial" w:hAnsi="Arial" w:cs="Arial"/>
                <w:i/>
                <w:sz w:val="20"/>
              </w:rPr>
              <w:t>11</w:t>
            </w:r>
            <w:r w:rsidR="0062052F">
              <w:rPr>
                <w:rFonts w:ascii="Arial" w:hAnsi="Arial" w:cs="Arial"/>
                <w:sz w:val="20"/>
              </w:rPr>
              <w:t>(1).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14:paraId="24229900" w14:textId="577DF799" w:rsidR="0062052F" w:rsidRDefault="0090269E" w:rsidP="0062052F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  <w:r w:rsidRPr="0090269E">
              <w:rPr>
                <w:rFonts w:ascii="Arial" w:hAnsi="Arial" w:cs="Arial"/>
                <w:sz w:val="20"/>
              </w:rPr>
              <w:t xml:space="preserve">Kroutilová Nováková, R., Martincová, J., &amp; Skarupská, H. (2023). </w:t>
            </w:r>
            <w:proofErr w:type="spellStart"/>
            <w:r w:rsidRPr="0090269E">
              <w:rPr>
                <w:rFonts w:ascii="Arial" w:hAnsi="Arial" w:cs="Arial"/>
                <w:sz w:val="20"/>
              </w:rPr>
              <w:t>Poor</w:t>
            </w:r>
            <w:proofErr w:type="spellEnd"/>
            <w:r w:rsidRPr="0090269E">
              <w:rPr>
                <w:rFonts w:ascii="Arial" w:hAnsi="Arial" w:cs="Arial"/>
                <w:sz w:val="20"/>
              </w:rPr>
              <w:t xml:space="preserve"> single </w:t>
            </w:r>
            <w:proofErr w:type="spellStart"/>
            <w:r w:rsidRPr="0090269E">
              <w:rPr>
                <w:rFonts w:ascii="Arial" w:hAnsi="Arial" w:cs="Arial"/>
                <w:sz w:val="20"/>
              </w:rPr>
              <w:t>mothers</w:t>
            </w:r>
            <w:proofErr w:type="spellEnd"/>
            <w:r w:rsidRPr="0090269E">
              <w:rPr>
                <w:rFonts w:ascii="Arial" w:hAnsi="Arial" w:cs="Arial"/>
                <w:sz w:val="20"/>
              </w:rPr>
              <w:t xml:space="preserve">: </w:t>
            </w:r>
            <w:proofErr w:type="spellStart"/>
            <w:r w:rsidRPr="0090269E">
              <w:rPr>
                <w:rFonts w:ascii="Arial" w:hAnsi="Arial" w:cs="Arial"/>
                <w:sz w:val="20"/>
              </w:rPr>
              <w:t>using</w:t>
            </w:r>
            <w:proofErr w:type="spellEnd"/>
            <w:r w:rsidRPr="0090269E">
              <w:rPr>
                <w:rFonts w:ascii="Arial" w:hAnsi="Arial" w:cs="Arial"/>
                <w:sz w:val="20"/>
              </w:rPr>
              <w:t xml:space="preserve"> Delors’ </w:t>
            </w:r>
            <w:proofErr w:type="spellStart"/>
            <w:r w:rsidRPr="0090269E">
              <w:rPr>
                <w:rFonts w:ascii="Arial" w:hAnsi="Arial" w:cs="Arial"/>
                <w:sz w:val="20"/>
              </w:rPr>
              <w:t>pillars</w:t>
            </w:r>
            <w:proofErr w:type="spellEnd"/>
            <w:r w:rsidRPr="0090269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0269E">
              <w:rPr>
                <w:rFonts w:ascii="Arial" w:hAnsi="Arial" w:cs="Arial"/>
                <w:sz w:val="20"/>
              </w:rPr>
              <w:t>of</w:t>
            </w:r>
            <w:proofErr w:type="spellEnd"/>
            <w:r w:rsidRPr="0090269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0269E">
              <w:rPr>
                <w:rFonts w:ascii="Arial" w:hAnsi="Arial" w:cs="Arial"/>
                <w:sz w:val="20"/>
              </w:rPr>
              <w:t>education</w:t>
            </w:r>
            <w:proofErr w:type="spellEnd"/>
            <w:r w:rsidRPr="0090269E">
              <w:rPr>
                <w:rFonts w:ascii="Arial" w:hAnsi="Arial" w:cs="Arial"/>
                <w:sz w:val="20"/>
              </w:rPr>
              <w:t xml:space="preserve"> in </w:t>
            </w:r>
            <w:proofErr w:type="spellStart"/>
            <w:r w:rsidRPr="0090269E">
              <w:rPr>
                <w:rFonts w:ascii="Arial" w:hAnsi="Arial" w:cs="Arial"/>
                <w:sz w:val="20"/>
              </w:rPr>
              <w:t>social</w:t>
            </w:r>
            <w:proofErr w:type="spellEnd"/>
            <w:r w:rsidRPr="0090269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0269E">
              <w:rPr>
                <w:rFonts w:ascii="Arial" w:hAnsi="Arial" w:cs="Arial"/>
                <w:sz w:val="20"/>
              </w:rPr>
              <w:t>activation</w:t>
            </w:r>
            <w:proofErr w:type="spellEnd"/>
            <w:r w:rsidRPr="0090269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0269E">
              <w:rPr>
                <w:rFonts w:ascii="Arial" w:hAnsi="Arial" w:cs="Arial"/>
                <w:sz w:val="20"/>
              </w:rPr>
              <w:t>services</w:t>
            </w:r>
            <w:proofErr w:type="spellEnd"/>
            <w:r w:rsidRPr="0090269E">
              <w:rPr>
                <w:rFonts w:ascii="Arial" w:hAnsi="Arial" w:cs="Arial"/>
                <w:sz w:val="20"/>
              </w:rPr>
              <w:t xml:space="preserve">. </w:t>
            </w:r>
            <w:proofErr w:type="spellStart"/>
            <w:r w:rsidRPr="0090269E">
              <w:rPr>
                <w:rFonts w:ascii="Arial" w:hAnsi="Arial" w:cs="Arial"/>
                <w:i/>
                <w:sz w:val="20"/>
              </w:rPr>
              <w:t>Innovation</w:t>
            </w:r>
            <w:proofErr w:type="spellEnd"/>
            <w:r w:rsidRPr="0090269E">
              <w:rPr>
                <w:rFonts w:ascii="Arial" w:hAnsi="Arial" w:cs="Arial"/>
                <w:i/>
                <w:sz w:val="20"/>
              </w:rPr>
              <w:t xml:space="preserve">: </w:t>
            </w:r>
            <w:proofErr w:type="spellStart"/>
            <w:r w:rsidRPr="0090269E">
              <w:rPr>
                <w:rFonts w:ascii="Arial" w:hAnsi="Arial" w:cs="Arial"/>
                <w:i/>
                <w:sz w:val="20"/>
              </w:rPr>
              <w:t>The</w:t>
            </w:r>
            <w:proofErr w:type="spellEnd"/>
            <w:r w:rsidRPr="0090269E"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 w:rsidRPr="0090269E">
              <w:rPr>
                <w:rFonts w:ascii="Arial" w:hAnsi="Arial" w:cs="Arial"/>
                <w:i/>
                <w:sz w:val="20"/>
              </w:rPr>
              <w:t>European</w:t>
            </w:r>
            <w:proofErr w:type="spellEnd"/>
            <w:r w:rsidRPr="0090269E"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 w:rsidRPr="0090269E">
              <w:rPr>
                <w:rFonts w:ascii="Arial" w:hAnsi="Arial" w:cs="Arial"/>
                <w:i/>
                <w:sz w:val="20"/>
              </w:rPr>
              <w:t>Journal</w:t>
            </w:r>
            <w:proofErr w:type="spellEnd"/>
            <w:r w:rsidRPr="0090269E"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 w:rsidRPr="0090269E">
              <w:rPr>
                <w:rFonts w:ascii="Arial" w:hAnsi="Arial" w:cs="Arial"/>
                <w:i/>
                <w:sz w:val="20"/>
              </w:rPr>
              <w:t>of</w:t>
            </w:r>
            <w:proofErr w:type="spellEnd"/>
            <w:r w:rsidRPr="0090269E"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 w:rsidRPr="0090269E">
              <w:rPr>
                <w:rFonts w:ascii="Arial" w:hAnsi="Arial" w:cs="Arial"/>
                <w:i/>
                <w:sz w:val="20"/>
              </w:rPr>
              <w:t>Social</w:t>
            </w:r>
            <w:proofErr w:type="spellEnd"/>
            <w:r w:rsidRPr="0090269E">
              <w:rPr>
                <w:rFonts w:ascii="Arial" w:hAnsi="Arial" w:cs="Arial"/>
                <w:i/>
                <w:sz w:val="20"/>
              </w:rPr>
              <w:t xml:space="preserve"> Science </w:t>
            </w:r>
            <w:proofErr w:type="spellStart"/>
            <w:r w:rsidRPr="0090269E">
              <w:rPr>
                <w:rFonts w:ascii="Arial" w:hAnsi="Arial" w:cs="Arial"/>
                <w:i/>
                <w:sz w:val="20"/>
              </w:rPr>
              <w:t>Research</w:t>
            </w:r>
            <w:proofErr w:type="spellEnd"/>
            <w:r w:rsidRPr="0090269E">
              <w:rPr>
                <w:rFonts w:ascii="Arial" w:hAnsi="Arial" w:cs="Arial"/>
                <w:sz w:val="20"/>
              </w:rPr>
              <w:t xml:space="preserve">, </w:t>
            </w:r>
            <w:r w:rsidRPr="0090269E">
              <w:rPr>
                <w:rFonts w:ascii="Arial" w:hAnsi="Arial" w:cs="Arial"/>
                <w:i/>
                <w:sz w:val="20"/>
              </w:rPr>
              <w:t>36</w:t>
            </w:r>
            <w:r w:rsidR="0062052F">
              <w:rPr>
                <w:rFonts w:ascii="Arial" w:hAnsi="Arial" w:cs="Arial"/>
                <w:sz w:val="20"/>
              </w:rPr>
              <w:t>(4), 719-738.</w:t>
            </w:r>
          </w:p>
          <w:p w14:paraId="416DB19D" w14:textId="77777777" w:rsidR="0062052F" w:rsidRDefault="00C26A25" w:rsidP="0062052F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  <w:proofErr w:type="spellStart"/>
            <w:r w:rsidRPr="00C26A25">
              <w:rPr>
                <w:rFonts w:ascii="Arial" w:hAnsi="Arial" w:cs="Arial"/>
                <w:sz w:val="20"/>
              </w:rPr>
              <w:t>Hladik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 xml:space="preserve">, J., </w:t>
            </w:r>
            <w:proofErr w:type="spellStart"/>
            <w:r w:rsidRPr="00C26A25">
              <w:rPr>
                <w:rFonts w:ascii="Arial" w:hAnsi="Arial" w:cs="Arial"/>
                <w:sz w:val="20"/>
              </w:rPr>
              <w:t>Hrbackova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 xml:space="preserve">, K., &amp; Petr </w:t>
            </w:r>
            <w:proofErr w:type="spellStart"/>
            <w:r w:rsidRPr="00C26A25">
              <w:rPr>
                <w:rFonts w:ascii="Arial" w:hAnsi="Arial" w:cs="Arial"/>
                <w:sz w:val="20"/>
              </w:rPr>
              <w:t>Safrankova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 xml:space="preserve">, A. (2022). </w:t>
            </w:r>
            <w:proofErr w:type="spellStart"/>
            <w:r w:rsidRPr="00C26A25">
              <w:rPr>
                <w:rFonts w:ascii="Arial" w:hAnsi="Arial" w:cs="Arial"/>
                <w:sz w:val="20"/>
              </w:rPr>
              <w:t>Models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C26A25">
              <w:rPr>
                <w:rFonts w:ascii="Arial" w:hAnsi="Arial" w:cs="Arial"/>
                <w:sz w:val="20"/>
              </w:rPr>
              <w:t>of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C26A25">
              <w:rPr>
                <w:rFonts w:ascii="Arial" w:hAnsi="Arial" w:cs="Arial"/>
                <w:sz w:val="20"/>
              </w:rPr>
              <w:t>Self-Regulation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C26A25">
              <w:rPr>
                <w:rFonts w:ascii="Arial" w:hAnsi="Arial" w:cs="Arial"/>
                <w:sz w:val="20"/>
              </w:rPr>
              <w:t>Mechanisms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 xml:space="preserve"> in Peer-</w:t>
            </w:r>
            <w:proofErr w:type="spellStart"/>
            <w:r w:rsidRPr="00C26A25">
              <w:rPr>
                <w:rFonts w:ascii="Arial" w:hAnsi="Arial" w:cs="Arial"/>
                <w:sz w:val="20"/>
              </w:rPr>
              <w:t>Rejected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C26A25">
              <w:rPr>
                <w:rFonts w:ascii="Arial" w:hAnsi="Arial" w:cs="Arial"/>
                <w:sz w:val="20"/>
              </w:rPr>
              <w:t>Students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 xml:space="preserve">. </w:t>
            </w:r>
            <w:r w:rsidRPr="00C26A25">
              <w:rPr>
                <w:rFonts w:ascii="Arial" w:hAnsi="Arial" w:cs="Arial"/>
                <w:i/>
                <w:sz w:val="20"/>
              </w:rPr>
              <w:t>SAGE Open</w:t>
            </w:r>
            <w:r w:rsidRPr="00C26A25">
              <w:rPr>
                <w:rFonts w:ascii="Arial" w:hAnsi="Arial" w:cs="Arial"/>
                <w:sz w:val="20"/>
              </w:rPr>
              <w:t xml:space="preserve">, </w:t>
            </w:r>
            <w:r w:rsidRPr="0090269E">
              <w:rPr>
                <w:rFonts w:ascii="Arial" w:hAnsi="Arial" w:cs="Arial"/>
                <w:i/>
                <w:sz w:val="20"/>
              </w:rPr>
              <w:t>12</w:t>
            </w:r>
            <w:r w:rsidRPr="00C26A25">
              <w:rPr>
                <w:rFonts w:ascii="Arial" w:hAnsi="Arial" w:cs="Arial"/>
                <w:sz w:val="20"/>
              </w:rPr>
              <w:t>(2)</w:t>
            </w:r>
            <w:r>
              <w:rPr>
                <w:rFonts w:ascii="Arial" w:hAnsi="Arial" w:cs="Arial"/>
                <w:sz w:val="20"/>
              </w:rPr>
              <w:t xml:space="preserve">. </w:t>
            </w:r>
          </w:p>
          <w:p w14:paraId="7EE9050B" w14:textId="77777777" w:rsidR="0062052F" w:rsidRDefault="0090269E" w:rsidP="0062052F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  <w:r w:rsidRPr="0090269E">
              <w:rPr>
                <w:rFonts w:ascii="Arial" w:hAnsi="Arial" w:cs="Arial"/>
                <w:sz w:val="20"/>
              </w:rPr>
              <w:t xml:space="preserve">Martincová, J., </w:t>
            </w:r>
            <w:r w:rsidR="0062052F">
              <w:rPr>
                <w:rFonts w:ascii="Arial" w:hAnsi="Arial" w:cs="Arial"/>
                <w:sz w:val="20"/>
              </w:rPr>
              <w:t xml:space="preserve">&amp; Bílá, M. (2023). </w:t>
            </w:r>
            <w:proofErr w:type="spellStart"/>
            <w:r w:rsidR="0062052F">
              <w:rPr>
                <w:rFonts w:ascii="Arial" w:hAnsi="Arial" w:cs="Arial"/>
                <w:sz w:val="20"/>
              </w:rPr>
              <w:t>Pedagogical</w:t>
            </w:r>
            <w:proofErr w:type="spellEnd"/>
            <w:r w:rsidR="0062052F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62052F">
              <w:rPr>
                <w:rFonts w:ascii="Arial" w:hAnsi="Arial" w:cs="Arial"/>
                <w:sz w:val="20"/>
              </w:rPr>
              <w:t>Aspects</w:t>
            </w:r>
            <w:proofErr w:type="spellEnd"/>
            <w:r w:rsidR="0062052F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62052F">
              <w:rPr>
                <w:rFonts w:ascii="Arial" w:hAnsi="Arial" w:cs="Arial"/>
                <w:sz w:val="20"/>
              </w:rPr>
              <w:t>of</w:t>
            </w:r>
            <w:proofErr w:type="spellEnd"/>
            <w:r w:rsidR="0062052F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62052F">
              <w:rPr>
                <w:rFonts w:ascii="Arial" w:hAnsi="Arial" w:cs="Arial"/>
                <w:sz w:val="20"/>
              </w:rPr>
              <w:t>the</w:t>
            </w:r>
            <w:proofErr w:type="spellEnd"/>
            <w:r w:rsidR="0062052F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62052F">
              <w:rPr>
                <w:rFonts w:ascii="Arial" w:hAnsi="Arial" w:cs="Arial"/>
                <w:sz w:val="20"/>
              </w:rPr>
              <w:t>D</w:t>
            </w:r>
            <w:r w:rsidRPr="0090269E">
              <w:rPr>
                <w:rFonts w:ascii="Arial" w:hAnsi="Arial" w:cs="Arial"/>
                <w:sz w:val="20"/>
              </w:rPr>
              <w:t>ev</w:t>
            </w:r>
            <w:r w:rsidR="0062052F">
              <w:rPr>
                <w:rFonts w:ascii="Arial" w:hAnsi="Arial" w:cs="Arial"/>
                <w:sz w:val="20"/>
              </w:rPr>
              <w:t>elopment</w:t>
            </w:r>
            <w:proofErr w:type="spellEnd"/>
            <w:r w:rsidR="0062052F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62052F">
              <w:rPr>
                <w:rFonts w:ascii="Arial" w:hAnsi="Arial" w:cs="Arial"/>
                <w:sz w:val="20"/>
              </w:rPr>
              <w:t>of</w:t>
            </w:r>
            <w:proofErr w:type="spellEnd"/>
            <w:r w:rsidR="0062052F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62052F">
              <w:rPr>
                <w:rFonts w:ascii="Arial" w:hAnsi="Arial" w:cs="Arial"/>
                <w:sz w:val="20"/>
              </w:rPr>
              <w:t>Academic</w:t>
            </w:r>
            <w:proofErr w:type="spellEnd"/>
            <w:r w:rsidR="0062052F">
              <w:rPr>
                <w:rFonts w:ascii="Arial" w:hAnsi="Arial" w:cs="Arial"/>
                <w:sz w:val="20"/>
              </w:rPr>
              <w:t xml:space="preserve"> S</w:t>
            </w:r>
            <w:r w:rsidRPr="0090269E">
              <w:rPr>
                <w:rFonts w:ascii="Arial" w:hAnsi="Arial" w:cs="Arial"/>
                <w:sz w:val="20"/>
              </w:rPr>
              <w:t xml:space="preserve">tress. </w:t>
            </w:r>
            <w:r w:rsidRPr="0090269E">
              <w:rPr>
                <w:rFonts w:ascii="Arial" w:hAnsi="Arial" w:cs="Arial"/>
                <w:i/>
                <w:sz w:val="20"/>
              </w:rPr>
              <w:t>Cogent Education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90269E">
              <w:rPr>
                <w:rFonts w:ascii="Arial" w:hAnsi="Arial" w:cs="Arial"/>
                <w:i/>
                <w:sz w:val="20"/>
              </w:rPr>
              <w:t>10</w:t>
            </w:r>
            <w:r w:rsidR="0062052F">
              <w:rPr>
                <w:rFonts w:ascii="Arial" w:hAnsi="Arial" w:cs="Arial"/>
                <w:sz w:val="20"/>
              </w:rPr>
              <w:t>(2).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14:paraId="67DC5676" w14:textId="77777777" w:rsidR="0062052F" w:rsidRDefault="00C26A25" w:rsidP="0062052F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  <w:proofErr w:type="spellStart"/>
            <w:r w:rsidRPr="00C26A25">
              <w:rPr>
                <w:rFonts w:ascii="Arial" w:hAnsi="Arial" w:cs="Arial"/>
                <w:sz w:val="20"/>
              </w:rPr>
              <w:t>Hrbackova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 xml:space="preserve">, K., &amp; </w:t>
            </w:r>
            <w:proofErr w:type="spellStart"/>
            <w:r w:rsidRPr="00C26A25">
              <w:rPr>
                <w:rFonts w:ascii="Arial" w:hAnsi="Arial" w:cs="Arial"/>
                <w:sz w:val="20"/>
              </w:rPr>
              <w:t>Hrncirikova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 xml:space="preserve">, Z. (2022). </w:t>
            </w:r>
            <w:proofErr w:type="spellStart"/>
            <w:r w:rsidRPr="00C26A25">
              <w:rPr>
                <w:rFonts w:ascii="Arial" w:hAnsi="Arial" w:cs="Arial"/>
                <w:sz w:val="20"/>
              </w:rPr>
              <w:t>The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C26A25">
              <w:rPr>
                <w:rFonts w:ascii="Arial" w:hAnsi="Arial" w:cs="Arial"/>
                <w:sz w:val="20"/>
              </w:rPr>
              <w:t>Perception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C26A25">
              <w:rPr>
                <w:rFonts w:ascii="Arial" w:hAnsi="Arial" w:cs="Arial"/>
                <w:sz w:val="20"/>
              </w:rPr>
              <w:t>of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C26A25">
              <w:rPr>
                <w:rFonts w:ascii="Arial" w:hAnsi="Arial" w:cs="Arial"/>
                <w:sz w:val="20"/>
              </w:rPr>
              <w:t>School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C26A25">
              <w:rPr>
                <w:rFonts w:ascii="Arial" w:hAnsi="Arial" w:cs="Arial"/>
                <w:sz w:val="20"/>
              </w:rPr>
              <w:t>Life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C26A25">
              <w:rPr>
                <w:rFonts w:ascii="Arial" w:hAnsi="Arial" w:cs="Arial"/>
                <w:sz w:val="20"/>
              </w:rPr>
              <w:t>From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C26A25">
              <w:rPr>
                <w:rFonts w:ascii="Arial" w:hAnsi="Arial" w:cs="Arial"/>
                <w:sz w:val="20"/>
              </w:rPr>
              <w:t>the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C26A25">
              <w:rPr>
                <w:rFonts w:ascii="Arial" w:hAnsi="Arial" w:cs="Arial"/>
                <w:sz w:val="20"/>
              </w:rPr>
              <w:t>Perspective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C26A25">
              <w:rPr>
                <w:rFonts w:ascii="Arial" w:hAnsi="Arial" w:cs="Arial"/>
                <w:sz w:val="20"/>
              </w:rPr>
              <w:t>of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C26A25">
              <w:rPr>
                <w:rFonts w:ascii="Arial" w:hAnsi="Arial" w:cs="Arial"/>
                <w:sz w:val="20"/>
              </w:rPr>
              <w:t>Popular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 xml:space="preserve"> and </w:t>
            </w:r>
            <w:proofErr w:type="spellStart"/>
            <w:r w:rsidRPr="00C26A25">
              <w:rPr>
                <w:rFonts w:ascii="Arial" w:hAnsi="Arial" w:cs="Arial"/>
                <w:sz w:val="20"/>
              </w:rPr>
              <w:t>Rejected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C26A25">
              <w:rPr>
                <w:rFonts w:ascii="Arial" w:hAnsi="Arial" w:cs="Arial"/>
                <w:sz w:val="20"/>
              </w:rPr>
              <w:t>Students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 xml:space="preserve">. </w:t>
            </w:r>
            <w:proofErr w:type="spellStart"/>
            <w:r w:rsidRPr="00C26A25">
              <w:rPr>
                <w:rFonts w:ascii="Arial" w:hAnsi="Arial" w:cs="Arial"/>
                <w:i/>
                <w:sz w:val="20"/>
              </w:rPr>
              <w:t>Frontiers</w:t>
            </w:r>
            <w:proofErr w:type="spellEnd"/>
            <w:r w:rsidRPr="00C26A25">
              <w:rPr>
                <w:rFonts w:ascii="Arial" w:hAnsi="Arial" w:cs="Arial"/>
                <w:i/>
                <w:sz w:val="20"/>
              </w:rPr>
              <w:t xml:space="preserve"> in Psychology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90269E">
              <w:rPr>
                <w:rFonts w:ascii="Arial" w:hAnsi="Arial" w:cs="Arial"/>
                <w:i/>
                <w:sz w:val="20"/>
              </w:rPr>
              <w:t>13</w:t>
            </w:r>
            <w:r w:rsidR="0062052F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14:paraId="738E1947" w14:textId="77777777" w:rsidR="0062052F" w:rsidRDefault="00C26A25" w:rsidP="0062052F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  <w:proofErr w:type="spellStart"/>
            <w:r w:rsidRPr="00C26A25">
              <w:rPr>
                <w:rFonts w:ascii="Arial" w:hAnsi="Arial" w:cs="Arial"/>
                <w:sz w:val="20"/>
              </w:rPr>
              <w:t>Hladik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 xml:space="preserve">, J., &amp; </w:t>
            </w:r>
            <w:proofErr w:type="spellStart"/>
            <w:r w:rsidRPr="00C26A25">
              <w:rPr>
                <w:rFonts w:ascii="Arial" w:hAnsi="Arial" w:cs="Arial"/>
                <w:sz w:val="20"/>
              </w:rPr>
              <w:t>Hrbackova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>, K. (2021). Peer-</w:t>
            </w:r>
            <w:proofErr w:type="spellStart"/>
            <w:r w:rsidRPr="00C26A25">
              <w:rPr>
                <w:rFonts w:ascii="Arial" w:hAnsi="Arial" w:cs="Arial"/>
                <w:sz w:val="20"/>
              </w:rPr>
              <w:t>rejec</w:t>
            </w:r>
            <w:r w:rsidR="0062052F">
              <w:rPr>
                <w:rFonts w:ascii="Arial" w:hAnsi="Arial" w:cs="Arial"/>
                <w:sz w:val="20"/>
              </w:rPr>
              <w:t>ted</w:t>
            </w:r>
            <w:proofErr w:type="spellEnd"/>
            <w:r w:rsidR="0062052F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62052F">
              <w:rPr>
                <w:rFonts w:ascii="Arial" w:hAnsi="Arial" w:cs="Arial"/>
                <w:sz w:val="20"/>
              </w:rPr>
              <w:t>S</w:t>
            </w:r>
            <w:r w:rsidRPr="00C26A25">
              <w:rPr>
                <w:rFonts w:ascii="Arial" w:hAnsi="Arial" w:cs="Arial"/>
                <w:sz w:val="20"/>
              </w:rPr>
              <w:t>tudents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 xml:space="preserve">: </w:t>
            </w:r>
            <w:proofErr w:type="spellStart"/>
            <w:r w:rsidRPr="00C26A25">
              <w:rPr>
                <w:rFonts w:ascii="Arial" w:hAnsi="Arial" w:cs="Arial"/>
                <w:sz w:val="20"/>
              </w:rPr>
              <w:t>An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C26A25">
              <w:rPr>
                <w:rFonts w:ascii="Arial" w:hAnsi="Arial" w:cs="Arial"/>
                <w:sz w:val="20"/>
              </w:rPr>
              <w:t>analysis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C26A25">
              <w:rPr>
                <w:rFonts w:ascii="Arial" w:hAnsi="Arial" w:cs="Arial"/>
                <w:sz w:val="20"/>
              </w:rPr>
              <w:t>of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C26A25">
              <w:rPr>
                <w:rFonts w:ascii="Arial" w:hAnsi="Arial" w:cs="Arial"/>
                <w:sz w:val="20"/>
              </w:rPr>
              <w:t>their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C26A25">
              <w:rPr>
                <w:rFonts w:ascii="Arial" w:hAnsi="Arial" w:cs="Arial"/>
                <w:sz w:val="20"/>
              </w:rPr>
              <w:t>self-regulatory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C26A25">
              <w:rPr>
                <w:rFonts w:ascii="Arial" w:hAnsi="Arial" w:cs="Arial"/>
                <w:sz w:val="20"/>
              </w:rPr>
              <w:t>mechanisms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 xml:space="preserve">. </w:t>
            </w:r>
            <w:proofErr w:type="spellStart"/>
            <w:r w:rsidRPr="00C26A25">
              <w:rPr>
                <w:rFonts w:ascii="Arial" w:hAnsi="Arial" w:cs="Arial"/>
                <w:i/>
                <w:sz w:val="20"/>
              </w:rPr>
              <w:t>Children</w:t>
            </w:r>
            <w:proofErr w:type="spellEnd"/>
            <w:r w:rsidRPr="00C26A25">
              <w:rPr>
                <w:rFonts w:ascii="Arial" w:hAnsi="Arial" w:cs="Arial"/>
                <w:i/>
                <w:sz w:val="20"/>
              </w:rPr>
              <w:t xml:space="preserve"> and </w:t>
            </w:r>
            <w:proofErr w:type="spellStart"/>
            <w:r w:rsidRPr="00C26A25">
              <w:rPr>
                <w:rFonts w:ascii="Arial" w:hAnsi="Arial" w:cs="Arial"/>
                <w:i/>
                <w:sz w:val="20"/>
              </w:rPr>
              <w:t>Youth</w:t>
            </w:r>
            <w:proofErr w:type="spellEnd"/>
            <w:r w:rsidRPr="00C26A25"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 w:rsidRPr="00C26A25">
              <w:rPr>
                <w:rFonts w:ascii="Arial" w:hAnsi="Arial" w:cs="Arial"/>
                <w:i/>
                <w:sz w:val="20"/>
              </w:rPr>
              <w:t>Services</w:t>
            </w:r>
            <w:proofErr w:type="spellEnd"/>
            <w:r w:rsidRPr="00C26A25"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 w:rsidRPr="00C26A25">
              <w:rPr>
                <w:rFonts w:ascii="Arial" w:hAnsi="Arial" w:cs="Arial"/>
                <w:i/>
                <w:sz w:val="20"/>
              </w:rPr>
              <w:t>Review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</w:t>
            </w:r>
            <w:r w:rsidRPr="0090269E">
              <w:rPr>
                <w:rFonts w:ascii="Arial" w:hAnsi="Arial" w:cs="Arial"/>
                <w:i/>
                <w:sz w:val="20"/>
              </w:rPr>
              <w:t>126</w:t>
            </w:r>
            <w:r w:rsidR="0062052F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14:paraId="6DE1190C" w14:textId="77777777" w:rsidR="0062052F" w:rsidRDefault="0090269E" w:rsidP="0062052F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  <w:r w:rsidRPr="0090269E">
              <w:rPr>
                <w:rFonts w:ascii="Arial" w:hAnsi="Arial" w:cs="Arial"/>
                <w:sz w:val="20"/>
              </w:rPr>
              <w:t xml:space="preserve">Martincová, J., </w:t>
            </w:r>
            <w:proofErr w:type="spellStart"/>
            <w:r w:rsidRPr="0090269E">
              <w:rPr>
                <w:rFonts w:ascii="Arial" w:hAnsi="Arial" w:cs="Arial"/>
                <w:sz w:val="20"/>
              </w:rPr>
              <w:t>Trubáková</w:t>
            </w:r>
            <w:proofErr w:type="spellEnd"/>
            <w:r w:rsidRPr="0090269E">
              <w:rPr>
                <w:rFonts w:ascii="Arial" w:hAnsi="Arial" w:cs="Arial"/>
                <w:sz w:val="20"/>
              </w:rPr>
              <w:t xml:space="preserve">, L., &amp; Fröhlichová, S. (2021). </w:t>
            </w:r>
            <w:proofErr w:type="spellStart"/>
            <w:r w:rsidRPr="0090269E">
              <w:rPr>
                <w:rFonts w:ascii="Arial" w:hAnsi="Arial" w:cs="Arial"/>
                <w:sz w:val="20"/>
              </w:rPr>
              <w:t>Pedagogical</w:t>
            </w:r>
            <w:proofErr w:type="spellEnd"/>
            <w:r w:rsidRPr="0090269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0269E">
              <w:rPr>
                <w:rFonts w:ascii="Arial" w:hAnsi="Arial" w:cs="Arial"/>
                <w:sz w:val="20"/>
              </w:rPr>
              <w:t>Concept</w:t>
            </w:r>
            <w:proofErr w:type="spellEnd"/>
            <w:r w:rsidRPr="0090269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0269E">
              <w:rPr>
                <w:rFonts w:ascii="Arial" w:hAnsi="Arial" w:cs="Arial"/>
                <w:sz w:val="20"/>
              </w:rPr>
              <w:t>of</w:t>
            </w:r>
            <w:proofErr w:type="spellEnd"/>
            <w:r w:rsidRPr="0090269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0269E">
              <w:rPr>
                <w:rFonts w:ascii="Arial" w:hAnsi="Arial" w:cs="Arial"/>
                <w:sz w:val="20"/>
              </w:rPr>
              <w:t>Self-Reflection</w:t>
            </w:r>
            <w:proofErr w:type="spellEnd"/>
            <w:r w:rsidRPr="0090269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0269E">
              <w:rPr>
                <w:rFonts w:ascii="Arial" w:hAnsi="Arial" w:cs="Arial"/>
                <w:sz w:val="20"/>
              </w:rPr>
              <w:t>of</w:t>
            </w:r>
            <w:proofErr w:type="spellEnd"/>
            <w:r w:rsidRPr="0090269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0269E">
              <w:rPr>
                <w:rFonts w:ascii="Arial" w:hAnsi="Arial" w:cs="Arial"/>
                <w:sz w:val="20"/>
              </w:rPr>
              <w:t>Students</w:t>
            </w:r>
            <w:proofErr w:type="spellEnd"/>
            <w:r w:rsidRPr="0090269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0269E">
              <w:rPr>
                <w:rFonts w:ascii="Arial" w:hAnsi="Arial" w:cs="Arial"/>
                <w:sz w:val="20"/>
              </w:rPr>
              <w:t>of</w:t>
            </w:r>
            <w:proofErr w:type="spellEnd"/>
            <w:r w:rsidRPr="0090269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0269E">
              <w:rPr>
                <w:rFonts w:ascii="Arial" w:hAnsi="Arial" w:cs="Arial"/>
                <w:sz w:val="20"/>
              </w:rPr>
              <w:t>Social</w:t>
            </w:r>
            <w:proofErr w:type="spellEnd"/>
            <w:r w:rsidRPr="0090269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0269E">
              <w:rPr>
                <w:rFonts w:ascii="Arial" w:hAnsi="Arial" w:cs="Arial"/>
                <w:sz w:val="20"/>
              </w:rPr>
              <w:t>Education</w:t>
            </w:r>
            <w:proofErr w:type="spellEnd"/>
            <w:r w:rsidRPr="0090269E">
              <w:rPr>
                <w:rFonts w:ascii="Arial" w:hAnsi="Arial" w:cs="Arial"/>
                <w:sz w:val="20"/>
              </w:rPr>
              <w:t xml:space="preserve">: </w:t>
            </w:r>
            <w:proofErr w:type="spellStart"/>
            <w:r w:rsidRPr="0090269E">
              <w:rPr>
                <w:rFonts w:ascii="Arial" w:hAnsi="Arial" w:cs="Arial"/>
                <w:sz w:val="20"/>
              </w:rPr>
              <w:t>Qualitative</w:t>
            </w:r>
            <w:proofErr w:type="spellEnd"/>
            <w:r w:rsidRPr="0090269E">
              <w:rPr>
                <w:rFonts w:ascii="Arial" w:hAnsi="Arial" w:cs="Arial"/>
                <w:sz w:val="20"/>
              </w:rPr>
              <w:t xml:space="preserve"> Study </w:t>
            </w:r>
            <w:proofErr w:type="spellStart"/>
            <w:r w:rsidRPr="0090269E">
              <w:rPr>
                <w:rFonts w:ascii="Arial" w:hAnsi="Arial" w:cs="Arial"/>
                <w:sz w:val="20"/>
              </w:rPr>
              <w:t>of</w:t>
            </w:r>
            <w:proofErr w:type="spellEnd"/>
            <w:r w:rsidRPr="0090269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0269E">
              <w:rPr>
                <w:rFonts w:ascii="Arial" w:hAnsi="Arial" w:cs="Arial"/>
                <w:sz w:val="20"/>
              </w:rPr>
              <w:t>Self-Reflection</w:t>
            </w:r>
            <w:proofErr w:type="spellEnd"/>
            <w:r w:rsidRPr="0090269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0269E">
              <w:rPr>
                <w:rFonts w:ascii="Arial" w:hAnsi="Arial" w:cs="Arial"/>
                <w:sz w:val="20"/>
              </w:rPr>
              <w:t>Determinants</w:t>
            </w:r>
            <w:proofErr w:type="spellEnd"/>
            <w:r w:rsidRPr="0090269E">
              <w:rPr>
                <w:rFonts w:ascii="Arial" w:hAnsi="Arial" w:cs="Arial"/>
                <w:sz w:val="20"/>
              </w:rPr>
              <w:t xml:space="preserve">. </w:t>
            </w:r>
            <w:proofErr w:type="spellStart"/>
            <w:r w:rsidRPr="0090269E">
              <w:rPr>
                <w:rFonts w:ascii="Arial" w:hAnsi="Arial" w:cs="Arial"/>
                <w:i/>
                <w:sz w:val="20"/>
              </w:rPr>
              <w:t>European</w:t>
            </w:r>
            <w:proofErr w:type="spellEnd"/>
            <w:r w:rsidRPr="0090269E"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 w:rsidRPr="0090269E">
              <w:rPr>
                <w:rFonts w:ascii="Arial" w:hAnsi="Arial" w:cs="Arial"/>
                <w:i/>
                <w:sz w:val="20"/>
              </w:rPr>
              <w:t>Journal</w:t>
            </w:r>
            <w:proofErr w:type="spellEnd"/>
            <w:r w:rsidRPr="0090269E"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 w:rsidRPr="0090269E">
              <w:rPr>
                <w:rFonts w:ascii="Arial" w:hAnsi="Arial" w:cs="Arial"/>
                <w:i/>
                <w:sz w:val="20"/>
              </w:rPr>
              <w:t>of</w:t>
            </w:r>
            <w:proofErr w:type="spellEnd"/>
            <w:r w:rsidRPr="0090269E"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 w:rsidRPr="0090269E">
              <w:rPr>
                <w:rFonts w:ascii="Arial" w:hAnsi="Arial" w:cs="Arial"/>
                <w:i/>
                <w:sz w:val="20"/>
              </w:rPr>
              <w:t>Educational</w:t>
            </w:r>
            <w:proofErr w:type="spellEnd"/>
            <w:r w:rsidRPr="0090269E"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 w:rsidRPr="0090269E">
              <w:rPr>
                <w:rFonts w:ascii="Arial" w:hAnsi="Arial" w:cs="Arial"/>
                <w:i/>
                <w:sz w:val="20"/>
              </w:rPr>
              <w:t>Research</w:t>
            </w:r>
            <w:proofErr w:type="spellEnd"/>
            <w:r w:rsidRPr="0090269E">
              <w:rPr>
                <w:rFonts w:ascii="Arial" w:hAnsi="Arial" w:cs="Arial"/>
                <w:i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90269E">
              <w:rPr>
                <w:rFonts w:ascii="Arial" w:hAnsi="Arial" w:cs="Arial"/>
                <w:i/>
                <w:sz w:val="20"/>
              </w:rPr>
              <w:t>10</w:t>
            </w:r>
            <w:r w:rsidR="0062052F">
              <w:rPr>
                <w:rFonts w:ascii="Arial" w:hAnsi="Arial" w:cs="Arial"/>
                <w:sz w:val="20"/>
              </w:rPr>
              <w:t>(4), 1793-1806.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14:paraId="01E80FAB" w14:textId="2C279151" w:rsidR="00961C70" w:rsidRPr="00975433" w:rsidRDefault="00C26A25" w:rsidP="0062052F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  <w:proofErr w:type="spellStart"/>
            <w:r w:rsidRPr="00C26A25">
              <w:rPr>
                <w:rFonts w:ascii="Arial" w:hAnsi="Arial" w:cs="Arial"/>
                <w:sz w:val="20"/>
              </w:rPr>
              <w:t>Hrbackova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 xml:space="preserve">, K., &amp; </w:t>
            </w:r>
            <w:proofErr w:type="spellStart"/>
            <w:r w:rsidRPr="00C26A25">
              <w:rPr>
                <w:rFonts w:ascii="Arial" w:hAnsi="Arial" w:cs="Arial"/>
                <w:sz w:val="20"/>
              </w:rPr>
              <w:t>Cakirpaloglu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>, I.</w:t>
            </w:r>
            <w:r w:rsidR="0062052F">
              <w:rPr>
                <w:rFonts w:ascii="Arial" w:hAnsi="Arial" w:cs="Arial"/>
                <w:sz w:val="20"/>
              </w:rPr>
              <w:t xml:space="preserve"> B. (2020). </w:t>
            </w:r>
            <w:proofErr w:type="spellStart"/>
            <w:r w:rsidR="0062052F">
              <w:rPr>
                <w:rFonts w:ascii="Arial" w:hAnsi="Arial" w:cs="Arial"/>
                <w:sz w:val="20"/>
              </w:rPr>
              <w:t>Self-regulation</w:t>
            </w:r>
            <w:proofErr w:type="spellEnd"/>
            <w:r w:rsidR="0062052F">
              <w:rPr>
                <w:rFonts w:ascii="Arial" w:hAnsi="Arial" w:cs="Arial"/>
                <w:sz w:val="20"/>
              </w:rPr>
              <w:t xml:space="preserve"> in Peer </w:t>
            </w:r>
            <w:proofErr w:type="spellStart"/>
            <w:r w:rsidR="0062052F">
              <w:rPr>
                <w:rFonts w:ascii="Arial" w:hAnsi="Arial" w:cs="Arial"/>
                <w:sz w:val="20"/>
              </w:rPr>
              <w:t>Rejected</w:t>
            </w:r>
            <w:proofErr w:type="spellEnd"/>
            <w:r w:rsidR="0062052F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62052F">
              <w:rPr>
                <w:rFonts w:ascii="Arial" w:hAnsi="Arial" w:cs="Arial"/>
                <w:sz w:val="20"/>
              </w:rPr>
              <w:t>S</w:t>
            </w:r>
            <w:r w:rsidRPr="00C26A25">
              <w:rPr>
                <w:rFonts w:ascii="Arial" w:hAnsi="Arial" w:cs="Arial"/>
                <w:sz w:val="20"/>
              </w:rPr>
              <w:t>tudents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 xml:space="preserve">. In </w:t>
            </w:r>
            <w:proofErr w:type="spellStart"/>
            <w:r w:rsidRPr="00C26A25">
              <w:rPr>
                <w:rFonts w:ascii="Arial" w:hAnsi="Arial" w:cs="Arial"/>
                <w:i/>
                <w:sz w:val="20"/>
              </w:rPr>
              <w:t>The</w:t>
            </w:r>
            <w:proofErr w:type="spellEnd"/>
            <w:r w:rsidRPr="00C26A25"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 w:rsidRPr="00C26A25">
              <w:rPr>
                <w:rFonts w:ascii="Arial" w:hAnsi="Arial" w:cs="Arial"/>
                <w:i/>
                <w:sz w:val="20"/>
              </w:rPr>
              <w:t>Social</w:t>
            </w:r>
            <w:proofErr w:type="spellEnd"/>
            <w:r w:rsidRPr="00C26A25"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 w:rsidRPr="00C26A25">
              <w:rPr>
                <w:rFonts w:ascii="Arial" w:hAnsi="Arial" w:cs="Arial"/>
                <w:i/>
                <w:sz w:val="20"/>
              </w:rPr>
              <w:t>Sciences</w:t>
            </w:r>
            <w:proofErr w:type="spellEnd"/>
            <w:r w:rsidRPr="00C26A25"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 w:rsidRPr="00C26A25">
              <w:rPr>
                <w:rFonts w:ascii="Arial" w:hAnsi="Arial" w:cs="Arial"/>
                <w:i/>
                <w:sz w:val="20"/>
              </w:rPr>
              <w:t>Empowered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 xml:space="preserve"> (pp. 47-53). CRC </w:t>
            </w:r>
            <w:proofErr w:type="spellStart"/>
            <w:r w:rsidRPr="00C26A25">
              <w:rPr>
                <w:rFonts w:ascii="Arial" w:hAnsi="Arial" w:cs="Arial"/>
                <w:sz w:val="20"/>
              </w:rPr>
              <w:t>Press</w:t>
            </w:r>
            <w:proofErr w:type="spellEnd"/>
            <w:r w:rsidRPr="00C26A25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</w:tr>
    </w:tbl>
    <w:p w14:paraId="5DAFA146" w14:textId="681B0111" w:rsidR="00986A97" w:rsidRDefault="00986A97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modul E. ZV</w:t>
      </w:r>
      <w:r>
        <w:rPr>
          <w:rFonts w:cs="Arial"/>
          <w:sz w:val="16"/>
          <w:szCs w:val="16"/>
        </w:rPr>
        <w:t>H UTB.</w:t>
      </w:r>
    </w:p>
    <w:p w14:paraId="4A7DEBC1" w14:textId="45AF48A0" w:rsidR="00975433" w:rsidRDefault="00975433" w:rsidP="00743EE4">
      <w:pPr>
        <w:pStyle w:val="Bezmezer"/>
        <w:ind w:right="283"/>
        <w:rPr>
          <w:rFonts w:cs="Arial"/>
          <w:b/>
          <w:color w:val="C45911" w:themeColor="accent2" w:themeShade="BF"/>
          <w:sz w:val="24"/>
          <w:szCs w:val="24"/>
        </w:rPr>
      </w:pPr>
    </w:p>
    <w:p w14:paraId="0261EAC6" w14:textId="02A03A8A" w:rsidR="00743EE4" w:rsidRPr="00691411" w:rsidRDefault="00F75C3F" w:rsidP="00743EE4">
      <w:pPr>
        <w:pStyle w:val="Bezmezer"/>
        <w:ind w:right="283"/>
        <w:rPr>
          <w:rFonts w:cs="Arial"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lastRenderedPageBreak/>
        <w:t>3a) Tvůrčí činnosti studentů</w:t>
      </w:r>
      <w:r w:rsidR="00743EE4" w:rsidRPr="00691411">
        <w:rPr>
          <w:rFonts w:cs="Arial"/>
          <w:color w:val="C45911" w:themeColor="accent2" w:themeShade="BF"/>
          <w:sz w:val="32"/>
          <w:szCs w:val="32"/>
        </w:rPr>
        <w:t xml:space="preserve"> </w:t>
      </w:r>
    </w:p>
    <w:p w14:paraId="4A957A3E" w14:textId="77777777" w:rsidR="0058539C" w:rsidRPr="006965DC" w:rsidRDefault="0058539C" w:rsidP="001710EA">
      <w:pPr>
        <w:pStyle w:val="Bezmezer"/>
        <w:ind w:right="283"/>
        <w:rPr>
          <w:rFonts w:ascii="Arial" w:hAnsi="Arial" w:cs="Arial"/>
          <w:color w:val="7030A0"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EB143E" w:rsidRPr="0058573E" w14:paraId="5A0A34D3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63CF698D" w14:textId="41B06EBE" w:rsidR="00EB143E" w:rsidRPr="00EE039E" w:rsidRDefault="00EB143E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Popis tvůrčí činnosti studentů</w:t>
            </w:r>
          </w:p>
          <w:p w14:paraId="27113425" w14:textId="72310BA2" w:rsidR="00EB143E" w:rsidRPr="00AC4575" w:rsidRDefault="00EB143E" w:rsidP="004958B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popi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s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tvůrčí činnosti </w:t>
            </w:r>
            <w:r w:rsidR="003F4A11">
              <w:rPr>
                <w:rFonts w:ascii="Arial" w:hAnsi="Arial" w:cs="Arial"/>
                <w:i/>
                <w:sz w:val="16"/>
                <w:szCs w:val="16"/>
              </w:rPr>
              <w:t>studentů</w:t>
            </w:r>
            <w:r w:rsidR="00710916" w:rsidRPr="009A5A6E">
              <w:rPr>
                <w:rFonts w:ascii="Arial" w:hAnsi="Arial" w:cs="Arial"/>
                <w:i/>
                <w:sz w:val="16"/>
                <w:szCs w:val="16"/>
              </w:rPr>
              <w:t xml:space="preserve"> v letech RRRR-3 až RRRR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3F4A11">
              <w:rPr>
                <w:rFonts w:ascii="Arial" w:hAnsi="Arial" w:cs="Arial"/>
                <w:i/>
                <w:sz w:val="16"/>
                <w:szCs w:val="16"/>
              </w:rPr>
              <w:t>–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3F4A11">
              <w:rPr>
                <w:rFonts w:ascii="Arial" w:hAnsi="Arial" w:cs="Arial"/>
                <w:i/>
                <w:sz w:val="16"/>
                <w:szCs w:val="16"/>
              </w:rPr>
              <w:t>studentské granty</w:t>
            </w:r>
            <w:r>
              <w:rPr>
                <w:rFonts w:ascii="Arial" w:hAnsi="Arial" w:cs="Arial"/>
                <w:i/>
                <w:sz w:val="16"/>
                <w:szCs w:val="16"/>
              </w:rPr>
              <w:t>, workshop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>
              <w:rPr>
                <w:rFonts w:ascii="Arial" w:hAnsi="Arial" w:cs="Arial"/>
                <w:i/>
                <w:sz w:val="16"/>
                <w:szCs w:val="16"/>
              </w:rPr>
              <w:t>, výstav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>
              <w:rPr>
                <w:rFonts w:ascii="Arial" w:hAnsi="Arial" w:cs="Arial"/>
                <w:i/>
                <w:sz w:val="16"/>
                <w:szCs w:val="16"/>
              </w:rPr>
              <w:t>, koncert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3F4A11">
              <w:rPr>
                <w:rFonts w:ascii="Arial" w:hAnsi="Arial" w:cs="Arial"/>
                <w:i/>
                <w:sz w:val="16"/>
                <w:szCs w:val="16"/>
              </w:rPr>
              <w:t xml:space="preserve">tvůrčí činnost ve spolupráci s praxí, 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významn</w:t>
            </w:r>
            <w:r w:rsidR="004958B7">
              <w:rPr>
                <w:rFonts w:ascii="Arial" w:hAnsi="Arial" w:cs="Arial"/>
                <w:i/>
                <w:sz w:val="16"/>
                <w:szCs w:val="16"/>
              </w:rPr>
              <w:t>á ocenění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4958B7">
              <w:rPr>
                <w:rFonts w:ascii="Arial" w:hAnsi="Arial" w:cs="Arial"/>
                <w:i/>
                <w:sz w:val="16"/>
                <w:szCs w:val="16"/>
              </w:rPr>
              <w:t>studentů a absolventů</w:t>
            </w:r>
            <w:r w:rsidR="00A66C4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aj. – max. 3000 znaků)</w:t>
            </w:r>
          </w:p>
        </w:tc>
      </w:tr>
      <w:tr w:rsidR="00EB143E" w:rsidRPr="0058573E" w14:paraId="1BA35242" w14:textId="77777777" w:rsidTr="00691411">
        <w:trPr>
          <w:trHeight w:val="3079"/>
        </w:trPr>
        <w:tc>
          <w:tcPr>
            <w:tcW w:w="9040" w:type="dxa"/>
          </w:tcPr>
          <w:p w14:paraId="15892B50" w14:textId="3C9FB292" w:rsidR="00EB143E" w:rsidRDefault="00CF169B" w:rsidP="00975433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Studenti studijního programu Sociální pedagogika v bakalářském i navazujícím magisterském stupni se v letech 2022 a 2023 zapojili do soutěže O nejlepší preventivní program, která byla Ústavem pedagogických věd vyhlášena v rámci řešení projektu IGA-K-</w:t>
            </w:r>
            <w:proofErr w:type="spellStart"/>
            <w:r>
              <w:rPr>
                <w:rFonts w:ascii="Arial" w:hAnsi="Arial" w:cs="Arial"/>
                <w:sz w:val="20"/>
              </w:rPr>
              <w:t>Trinity</w:t>
            </w:r>
            <w:proofErr w:type="spellEnd"/>
            <w:r>
              <w:rPr>
                <w:rFonts w:ascii="Arial" w:hAnsi="Arial" w:cs="Arial"/>
                <w:sz w:val="20"/>
              </w:rPr>
              <w:t>. Celkově se soutěže zúčastnilo osmnáct studentů. Cílem projektu byl rozvoj profesních kompetencí studentů v oblasti prevence rizikového chování.</w:t>
            </w:r>
          </w:p>
          <w:p w14:paraId="559267F3" w14:textId="727CE301" w:rsidR="00101E90" w:rsidRDefault="00101E90" w:rsidP="00975433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</w:p>
          <w:p w14:paraId="3C1D9B8B" w14:textId="30ED96A7" w:rsidR="00101E90" w:rsidRDefault="00101E90" w:rsidP="00975433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Studenti se zapojují každý rok do vědecko-výzkumné činnosti ústavu (sběr dat, jednoduchá analýza dat) v rámci podpory Studentských vědeckých sil a </w:t>
            </w:r>
            <w:r w:rsidR="0073476A">
              <w:rPr>
                <w:rFonts w:ascii="Arial" w:hAnsi="Arial" w:cs="Arial"/>
                <w:sz w:val="20"/>
              </w:rPr>
              <w:t>účastní se každoroční Studentské konference</w:t>
            </w:r>
            <w:r>
              <w:rPr>
                <w:rFonts w:ascii="Arial" w:hAnsi="Arial" w:cs="Arial"/>
                <w:sz w:val="20"/>
              </w:rPr>
              <w:t xml:space="preserve">. </w:t>
            </w:r>
          </w:p>
          <w:p w14:paraId="15F15833" w14:textId="77777777" w:rsidR="00D531F5" w:rsidRDefault="00D531F5" w:rsidP="00975433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</w:p>
          <w:p w14:paraId="1DDE9171" w14:textId="57F6A702" w:rsidR="00101E90" w:rsidRDefault="00101E90" w:rsidP="00975433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Nejlepší bakalářské práce studentů studijního programu Sociální pedagogika bývají vybírány k ocenění komisemi SZZ.</w:t>
            </w:r>
          </w:p>
          <w:p w14:paraId="7E7E6C72" w14:textId="77777777" w:rsidR="00101E90" w:rsidRDefault="00101E90" w:rsidP="00975433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</w:p>
          <w:p w14:paraId="54996422" w14:textId="74078129" w:rsidR="00961C70" w:rsidRPr="004D6159" w:rsidRDefault="00101E90" w:rsidP="00975433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Studenti reprezentují fakultu v dobrovolnických činnostech spojených se studovaným oborem </w:t>
            </w:r>
            <w:r>
              <w:rPr>
                <w:rFonts w:ascii="Arial" w:hAnsi="Arial" w:cs="Arial"/>
                <w:sz w:val="20"/>
              </w:rPr>
              <w:br/>
              <w:t>např. sbírka Bílá pastelka a také reprezentují univerzitu na sportovních akcích.</w:t>
            </w:r>
          </w:p>
        </w:tc>
      </w:tr>
    </w:tbl>
    <w:p w14:paraId="31FD771D" w14:textId="77777777" w:rsidR="00EB143E" w:rsidRDefault="00EB143E" w:rsidP="001710EA">
      <w:pPr>
        <w:pStyle w:val="Bezmezer"/>
        <w:ind w:right="283"/>
        <w:rPr>
          <w:rFonts w:ascii="Arial" w:hAnsi="Arial" w:cs="Arial"/>
          <w:color w:val="7030A0"/>
          <w:sz w:val="32"/>
          <w:szCs w:val="32"/>
        </w:rPr>
        <w:sectPr w:rsidR="00EB143E" w:rsidSect="00BF69BF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1E16A1E2" w14:textId="72914FDB" w:rsidR="001C61C6" w:rsidRDefault="00F75C3F" w:rsidP="001710EA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 w:rsidRPr="00F75C3F">
        <w:rPr>
          <w:rFonts w:cs="Arial"/>
          <w:b/>
          <w:color w:val="C45911" w:themeColor="accent2" w:themeShade="BF"/>
          <w:sz w:val="32"/>
          <w:szCs w:val="32"/>
        </w:rPr>
        <w:lastRenderedPageBreak/>
        <w:t>Část 4.) M</w:t>
      </w:r>
      <w:r w:rsidR="001710EA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ezinárodní rozměr studijního programu  </w:t>
      </w:r>
    </w:p>
    <w:p w14:paraId="713689D2" w14:textId="1F02DB4C" w:rsidR="00F75C3F" w:rsidRDefault="00F75C3F" w:rsidP="001710EA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</w:p>
    <w:tbl>
      <w:tblPr>
        <w:tblStyle w:val="Mkatabulky"/>
        <w:tblW w:w="8844" w:type="dxa"/>
        <w:tblLook w:val="04A0" w:firstRow="1" w:lastRow="0" w:firstColumn="1" w:lastColumn="0" w:noHBand="0" w:noVBand="1"/>
      </w:tblPr>
      <w:tblGrid>
        <w:gridCol w:w="3029"/>
        <w:gridCol w:w="1454"/>
        <w:gridCol w:w="1454"/>
        <w:gridCol w:w="1140"/>
        <w:gridCol w:w="1767"/>
      </w:tblGrid>
      <w:tr w:rsidR="00F33B5E" w:rsidRPr="00F75C3F" w14:paraId="3C87483F" w14:textId="77777777" w:rsidTr="00160D7F">
        <w:trPr>
          <w:trHeight w:val="250"/>
        </w:trPr>
        <w:tc>
          <w:tcPr>
            <w:tcW w:w="3029" w:type="dxa"/>
            <w:shd w:val="clear" w:color="auto" w:fill="F7CAAC" w:themeFill="accent2" w:themeFillTint="66"/>
            <w:hideMark/>
          </w:tcPr>
          <w:p w14:paraId="5C07894F" w14:textId="77777777" w:rsidR="00F33B5E" w:rsidRPr="00F75C3F" w:rsidRDefault="00F33B5E" w:rsidP="00F33B5E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75C3F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Mobilita studentů</w:t>
            </w:r>
            <w:r w:rsidRPr="00F75C3F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 xml:space="preserve">1) </w:t>
            </w:r>
            <w:r w:rsidRPr="00F75C3F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a absolventů</w:t>
            </w:r>
          </w:p>
        </w:tc>
        <w:tc>
          <w:tcPr>
            <w:tcW w:w="1454" w:type="dxa"/>
            <w:shd w:val="clear" w:color="auto" w:fill="F7CAAC" w:themeFill="accent2" w:themeFillTint="66"/>
            <w:hideMark/>
          </w:tcPr>
          <w:p w14:paraId="282B73E4" w14:textId="546D410E" w:rsidR="00F33B5E" w:rsidRPr="00F75C3F" w:rsidRDefault="00F33B5E" w:rsidP="00F33B5E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2020/2021</w:t>
            </w:r>
          </w:p>
        </w:tc>
        <w:tc>
          <w:tcPr>
            <w:tcW w:w="1454" w:type="dxa"/>
            <w:shd w:val="clear" w:color="auto" w:fill="F7CAAC" w:themeFill="accent2" w:themeFillTint="66"/>
            <w:hideMark/>
          </w:tcPr>
          <w:p w14:paraId="2609C3A7" w14:textId="195AC841" w:rsidR="00F33B5E" w:rsidRPr="00F75C3F" w:rsidRDefault="00F33B5E" w:rsidP="00F33B5E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2021/2022</w:t>
            </w:r>
          </w:p>
        </w:tc>
        <w:tc>
          <w:tcPr>
            <w:tcW w:w="1140" w:type="dxa"/>
            <w:shd w:val="clear" w:color="auto" w:fill="F7CAAC" w:themeFill="accent2" w:themeFillTint="66"/>
            <w:hideMark/>
          </w:tcPr>
          <w:p w14:paraId="5FA39EA1" w14:textId="702833C7" w:rsidR="00F33B5E" w:rsidRPr="00F75C3F" w:rsidRDefault="00F33B5E" w:rsidP="00F33B5E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2022/2023</w:t>
            </w:r>
          </w:p>
        </w:tc>
        <w:tc>
          <w:tcPr>
            <w:tcW w:w="1767" w:type="dxa"/>
            <w:shd w:val="clear" w:color="auto" w:fill="F7CAAC" w:themeFill="accent2" w:themeFillTint="66"/>
            <w:hideMark/>
          </w:tcPr>
          <w:p w14:paraId="230972D6" w14:textId="1F5BEB86" w:rsidR="00F33B5E" w:rsidRPr="00F75C3F" w:rsidRDefault="00F33B5E" w:rsidP="00F33B5E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2023/2024</w:t>
            </w:r>
          </w:p>
        </w:tc>
      </w:tr>
      <w:tr w:rsidR="00F33B5E" w:rsidRPr="00F75C3F" w14:paraId="2891B82D" w14:textId="77777777" w:rsidTr="00F33B5E">
        <w:trPr>
          <w:trHeight w:val="410"/>
        </w:trPr>
        <w:tc>
          <w:tcPr>
            <w:tcW w:w="3029" w:type="dxa"/>
            <w:hideMark/>
          </w:tcPr>
          <w:p w14:paraId="2CEB5DD2" w14:textId="77777777" w:rsidR="00F33B5E" w:rsidRPr="00F75C3F" w:rsidRDefault="00F33B5E" w:rsidP="00F33B5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5C3F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Počet vyslaných studentů </w:t>
            </w:r>
            <w:r w:rsidRPr="00F75C3F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>(výjezdy v délce alespoň14 dní)</w:t>
            </w:r>
          </w:p>
        </w:tc>
        <w:tc>
          <w:tcPr>
            <w:tcW w:w="1454" w:type="dxa"/>
            <w:vAlign w:val="center"/>
            <w:hideMark/>
          </w:tcPr>
          <w:p w14:paraId="5C7B1F53" w14:textId="06436FB4" w:rsidR="00F33B5E" w:rsidRPr="00F33B5E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33B5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454" w:type="dxa"/>
            <w:vAlign w:val="center"/>
            <w:hideMark/>
          </w:tcPr>
          <w:p w14:paraId="7A6D8B6A" w14:textId="23EA27FD" w:rsidR="00F33B5E" w:rsidRPr="00F33B5E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33B5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140" w:type="dxa"/>
            <w:vAlign w:val="center"/>
            <w:hideMark/>
          </w:tcPr>
          <w:p w14:paraId="578A60A9" w14:textId="2AF9D840" w:rsidR="00F33B5E" w:rsidRPr="00F33B5E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33B5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767" w:type="dxa"/>
            <w:vAlign w:val="center"/>
            <w:hideMark/>
          </w:tcPr>
          <w:p w14:paraId="72AB16AC" w14:textId="073B82AF" w:rsidR="00F33B5E" w:rsidRPr="00F33B5E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33B5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F33B5E" w:rsidRPr="00F75C3F" w14:paraId="3D5D840C" w14:textId="77777777" w:rsidTr="00F33B5E">
        <w:trPr>
          <w:trHeight w:val="415"/>
        </w:trPr>
        <w:tc>
          <w:tcPr>
            <w:tcW w:w="3029" w:type="dxa"/>
            <w:hideMark/>
          </w:tcPr>
          <w:p w14:paraId="79535B34" w14:textId="40D5639C" w:rsidR="00F33B5E" w:rsidRPr="00F75C3F" w:rsidRDefault="00F33B5E" w:rsidP="00F33B5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5C3F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Počet přijatých studentů </w:t>
            </w:r>
            <w:r w:rsidRPr="00F75C3F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>(příjezdy v délce</w:t>
            </w:r>
            <w:r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alespoň 14 dní)</w:t>
            </w:r>
            <w:r w:rsidRPr="00F75C3F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54" w:type="dxa"/>
            <w:vAlign w:val="center"/>
            <w:hideMark/>
          </w:tcPr>
          <w:p w14:paraId="0DDED753" w14:textId="6AF197A9" w:rsidR="00F33B5E" w:rsidRPr="00F33B5E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33B5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454" w:type="dxa"/>
            <w:vAlign w:val="center"/>
            <w:hideMark/>
          </w:tcPr>
          <w:p w14:paraId="38F74154" w14:textId="0FE74795" w:rsidR="00F33B5E" w:rsidRPr="00F33B5E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33B5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140" w:type="dxa"/>
            <w:vAlign w:val="center"/>
            <w:hideMark/>
          </w:tcPr>
          <w:p w14:paraId="0091F382" w14:textId="0F557B1F" w:rsidR="00F33B5E" w:rsidRPr="00F33B5E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33B5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767" w:type="dxa"/>
            <w:vAlign w:val="center"/>
            <w:hideMark/>
          </w:tcPr>
          <w:p w14:paraId="7A377A58" w14:textId="36EBC763" w:rsidR="00F33B5E" w:rsidRPr="00F33B5E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33B5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</w:tr>
      <w:tr w:rsidR="00F33B5E" w:rsidRPr="00F75C3F" w14:paraId="671F8212" w14:textId="77777777" w:rsidTr="00F33B5E">
        <w:trPr>
          <w:trHeight w:val="562"/>
        </w:trPr>
        <w:tc>
          <w:tcPr>
            <w:tcW w:w="3029" w:type="dxa"/>
            <w:hideMark/>
          </w:tcPr>
          <w:p w14:paraId="479F8BF6" w14:textId="77777777" w:rsidR="00F33B5E" w:rsidRPr="00F75C3F" w:rsidRDefault="00F33B5E" w:rsidP="00F33B5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5C3F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Podíl absolventů [%], kteří během svého studia vyjeli na zahraniční pobyt v délce alespoň 14 dní</w:t>
            </w:r>
          </w:p>
        </w:tc>
        <w:tc>
          <w:tcPr>
            <w:tcW w:w="1454" w:type="dxa"/>
            <w:noWrap/>
            <w:vAlign w:val="center"/>
            <w:hideMark/>
          </w:tcPr>
          <w:p w14:paraId="4EC940C5" w14:textId="37E9FB95" w:rsidR="00F33B5E" w:rsidRPr="00F33B5E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33B5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454" w:type="dxa"/>
            <w:noWrap/>
            <w:vAlign w:val="center"/>
            <w:hideMark/>
          </w:tcPr>
          <w:p w14:paraId="19C6AEB2" w14:textId="7A47C8B5" w:rsidR="00F33B5E" w:rsidRPr="00F33B5E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33B5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18 %</w:t>
            </w:r>
          </w:p>
        </w:tc>
        <w:tc>
          <w:tcPr>
            <w:tcW w:w="1140" w:type="dxa"/>
            <w:noWrap/>
            <w:vAlign w:val="center"/>
            <w:hideMark/>
          </w:tcPr>
          <w:p w14:paraId="76289011" w14:textId="0CFF9FB7" w:rsidR="00F33B5E" w:rsidRPr="00F33B5E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33B5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767" w:type="dxa"/>
            <w:noWrap/>
            <w:vAlign w:val="center"/>
            <w:hideMark/>
          </w:tcPr>
          <w:p w14:paraId="0D2BDF3B" w14:textId="0C9C0FA9" w:rsidR="00F33B5E" w:rsidRPr="00F33B5E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33B5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</w:tbl>
    <w:p w14:paraId="7058F02D" w14:textId="4782A573" w:rsidR="00F75C3F" w:rsidRPr="00F75C3F" w:rsidRDefault="00F75C3F" w:rsidP="001710EA">
      <w:pPr>
        <w:pStyle w:val="Bezmezer"/>
        <w:ind w:right="28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Poznámka: </w:t>
      </w:r>
      <w:r w:rsidRPr="00F75C3F">
        <w:rPr>
          <w:rFonts w:ascii="Arial" w:hAnsi="Arial" w:cs="Arial"/>
          <w:sz w:val="16"/>
          <w:szCs w:val="16"/>
        </w:rPr>
        <w:t>V případech výjezdů i příjezdů studentů se vykazují pobyty, jejichž celková délka trvání (tedy nikoliv pouze v průběhu daného kalendářního roku) byla delší než 2 týdny (14 dní). Započítávají se tak i pobyty, které započaly v předchozím roce.</w:t>
      </w:r>
      <w:r>
        <w:rPr>
          <w:rFonts w:ascii="Arial" w:hAnsi="Arial" w:cs="Arial"/>
          <w:sz w:val="16"/>
          <w:szCs w:val="16"/>
        </w:rPr>
        <w:t xml:space="preserve"> </w:t>
      </w:r>
      <w:r w:rsidRPr="00F75C3F">
        <w:rPr>
          <w:rFonts w:ascii="Arial" w:hAnsi="Arial" w:cs="Arial"/>
          <w:sz w:val="16"/>
          <w:szCs w:val="16"/>
        </w:rPr>
        <w:t>V mobilitách jsou uváděny všechny programy bez ohledu na zdroj financování.</w:t>
      </w:r>
    </w:p>
    <w:p w14:paraId="758AFCC4" w14:textId="77777777" w:rsidR="00F75C3F" w:rsidRPr="00F75C3F" w:rsidRDefault="00F75C3F" w:rsidP="001710EA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</w:p>
    <w:p w14:paraId="498DEBE7" w14:textId="417BA455" w:rsidR="008725C9" w:rsidRDefault="008725C9" w:rsidP="002F66FA">
      <w:pPr>
        <w:pStyle w:val="Bezmezer"/>
        <w:ind w:right="283"/>
        <w:rPr>
          <w:rFonts w:cs="Arial"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205"/>
        <w:gridCol w:w="835"/>
      </w:tblGrid>
      <w:tr w:rsidR="009772E2" w:rsidRPr="00FB55D5" w14:paraId="74C59BF2" w14:textId="77777777" w:rsidTr="000841F5">
        <w:trPr>
          <w:trHeight w:val="357"/>
        </w:trPr>
        <w:tc>
          <w:tcPr>
            <w:tcW w:w="8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BC37AEB" w14:textId="3210E659" w:rsidR="009772E2" w:rsidRPr="002F66FA" w:rsidRDefault="009772E2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F66FA">
              <w:rPr>
                <w:rFonts w:ascii="Arial" w:hAnsi="Arial" w:cs="Arial"/>
                <w:b/>
                <w:sz w:val="20"/>
              </w:rPr>
              <w:t>Předměty v cizím jazyce</w:t>
            </w:r>
            <w:r w:rsidRPr="002F66FA">
              <w:rPr>
                <w:rFonts w:ascii="Arial" w:hAnsi="Arial" w:cs="Arial"/>
                <w:sz w:val="20"/>
              </w:rPr>
              <w:t xml:space="preserve"> </w:t>
            </w:r>
            <w:r w:rsidR="009A5A6E">
              <w:rPr>
                <w:rFonts w:ascii="Arial" w:hAnsi="Arial" w:cs="Arial"/>
                <w:sz w:val="20"/>
              </w:rPr>
              <w:t xml:space="preserve">- </w:t>
            </w:r>
            <w:r w:rsidRPr="009A5A6E">
              <w:rPr>
                <w:rFonts w:ascii="Arial" w:hAnsi="Arial" w:cs="Arial"/>
                <w:b/>
                <w:sz w:val="20"/>
              </w:rPr>
              <w:t>podíl na kreditech předepsaného studijního plánu</w:t>
            </w:r>
            <w:r w:rsidR="009A5A6E">
              <w:rPr>
                <w:rFonts w:ascii="Arial" w:hAnsi="Arial" w:cs="Arial"/>
                <w:b/>
                <w:sz w:val="20"/>
              </w:rPr>
              <w:t xml:space="preserve"> </w:t>
            </w:r>
            <w:r w:rsidRPr="009A5A6E">
              <w:rPr>
                <w:rFonts w:ascii="Arial" w:hAnsi="Arial" w:cs="Arial"/>
                <w:b/>
                <w:sz w:val="20"/>
              </w:rPr>
              <w:t>[%]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4F7844" w14:textId="3F89475A" w:rsidR="009772E2" w:rsidRPr="00FB55D5" w:rsidRDefault="00AD5D71" w:rsidP="00AD5D71">
            <w:pPr>
              <w:pStyle w:val="Bezmezer"/>
              <w:spacing w:before="40" w:after="4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9 </w:t>
            </w:r>
            <w:r w:rsidR="000841F5">
              <w:rPr>
                <w:rFonts w:ascii="Arial" w:hAnsi="Arial" w:cs="Arial"/>
                <w:sz w:val="20"/>
              </w:rPr>
              <w:t>%</w:t>
            </w:r>
          </w:p>
        </w:tc>
      </w:tr>
      <w:tr w:rsidR="002F66FA" w:rsidRPr="0058573E" w14:paraId="616A4D00" w14:textId="77777777" w:rsidTr="000841F5"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EC80" w14:textId="4BBB76D2" w:rsidR="00913651" w:rsidRDefault="00913651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913651">
              <w:rPr>
                <w:rFonts w:ascii="Arial" w:hAnsi="Arial" w:cs="Arial"/>
                <w:b/>
                <w:sz w:val="20"/>
              </w:rPr>
              <w:t>Přístup k </w:t>
            </w:r>
            <w:r w:rsidR="00012E61" w:rsidRPr="00913651">
              <w:rPr>
                <w:rFonts w:ascii="Arial" w:hAnsi="Arial" w:cs="Arial"/>
                <w:b/>
                <w:sz w:val="20"/>
              </w:rPr>
              <w:t>cizojazyčn</w:t>
            </w:r>
            <w:r w:rsidRPr="00913651">
              <w:rPr>
                <w:rFonts w:ascii="Arial" w:hAnsi="Arial" w:cs="Arial"/>
                <w:b/>
                <w:sz w:val="20"/>
              </w:rPr>
              <w:t>é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="00BB6422">
              <w:rPr>
                <w:rFonts w:ascii="Arial" w:hAnsi="Arial" w:cs="Arial"/>
                <w:b/>
                <w:sz w:val="20"/>
              </w:rPr>
              <w:t>odborné literatuře a její používání ve výuce</w:t>
            </w:r>
            <w:r w:rsidR="00012E61" w:rsidRPr="00012E61"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5945AF7E" w14:textId="5B4A1E6C" w:rsidR="002F66FA" w:rsidRPr="009A5A6E" w:rsidRDefault="00913651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A5A6E">
              <w:rPr>
                <w:rFonts w:ascii="Arial" w:hAnsi="Arial" w:cs="Arial"/>
                <w:i/>
                <w:sz w:val="16"/>
                <w:szCs w:val="16"/>
              </w:rPr>
              <w:t xml:space="preserve">(popis </w:t>
            </w:r>
            <w:r w:rsidR="00BB6422" w:rsidRPr="009A5A6E">
              <w:rPr>
                <w:rFonts w:ascii="Arial" w:hAnsi="Arial" w:cs="Arial"/>
                <w:i/>
                <w:sz w:val="16"/>
                <w:szCs w:val="16"/>
              </w:rPr>
              <w:t>vývoje v letech RRRR-3 až RRRR</w:t>
            </w:r>
            <w:r w:rsidRPr="009A5A6E">
              <w:rPr>
                <w:rFonts w:ascii="Arial" w:hAnsi="Arial" w:cs="Arial"/>
                <w:i/>
                <w:sz w:val="16"/>
                <w:szCs w:val="16"/>
              </w:rPr>
              <w:t xml:space="preserve">) </w:t>
            </w:r>
          </w:p>
        </w:tc>
      </w:tr>
      <w:tr w:rsidR="002F66FA" w:rsidRPr="0058573E" w14:paraId="438DDA8F" w14:textId="77777777" w:rsidTr="000841F5">
        <w:trPr>
          <w:trHeight w:val="2410"/>
        </w:trPr>
        <w:tc>
          <w:tcPr>
            <w:tcW w:w="9040" w:type="dxa"/>
            <w:gridSpan w:val="2"/>
            <w:tcBorders>
              <w:top w:val="single" w:sz="4" w:space="0" w:color="auto"/>
            </w:tcBorders>
          </w:tcPr>
          <w:p w14:paraId="0609BACD" w14:textId="0881162E" w:rsidR="000A57CD" w:rsidRPr="00E4268E" w:rsidRDefault="000A57CD" w:rsidP="000A57CD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  <w:r w:rsidRPr="00E4268E">
              <w:rPr>
                <w:rFonts w:ascii="Arial" w:hAnsi="Arial" w:cs="Arial"/>
                <w:sz w:val="20"/>
              </w:rPr>
              <w:t>Knihovna UTB na podnět pracovníků Ústavu pedagogických věd neustále rozšiřuje fond cizojazyčných publikací souvisejících s oborem. Knihovna studentům nabízí více jak 800 titulů v anglickém jazyce věnujících se vzděl</w:t>
            </w:r>
            <w:r>
              <w:rPr>
                <w:rFonts w:ascii="Arial" w:hAnsi="Arial" w:cs="Arial"/>
                <w:sz w:val="20"/>
              </w:rPr>
              <w:t>ávání a pedagogice, z toho asi 7</w:t>
            </w:r>
            <w:r w:rsidRPr="00E4268E">
              <w:rPr>
                <w:rFonts w:ascii="Arial" w:hAnsi="Arial" w:cs="Arial"/>
                <w:sz w:val="20"/>
              </w:rPr>
              <w:t>0 knih v angličtině souvisí přímo s teorií sociální pedagogiky a sociální práce.</w:t>
            </w:r>
            <w:r>
              <w:rPr>
                <w:rFonts w:ascii="Arial" w:hAnsi="Arial" w:cs="Arial"/>
                <w:sz w:val="20"/>
              </w:rPr>
              <w:t xml:space="preserve"> Studenti mají širokou možnost přístupu k cizojazyčným odborným časopisům a databázím. Tyto zdroje jsou vyučujícími v rámci výuky pravidelně využívány.</w:t>
            </w:r>
          </w:p>
          <w:p w14:paraId="3E4FF721" w14:textId="77777777" w:rsidR="000A57CD" w:rsidRPr="00E4268E" w:rsidRDefault="000A57CD" w:rsidP="000A57CD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</w:p>
          <w:p w14:paraId="4618E173" w14:textId="73CB5C1B" w:rsidR="003F6125" w:rsidRPr="0058573E" w:rsidRDefault="000A57CD" w:rsidP="00975433">
            <w:pPr>
              <w:pStyle w:val="Bezmezer"/>
              <w:spacing w:before="40" w:after="40"/>
              <w:rPr>
                <w:rFonts w:ascii="Arial" w:hAnsi="Arial" w:cs="Arial"/>
                <w:sz w:val="20"/>
              </w:rPr>
            </w:pPr>
            <w:r w:rsidRPr="00E4268E">
              <w:rPr>
                <w:rFonts w:ascii="Arial" w:hAnsi="Arial" w:cs="Arial"/>
                <w:sz w:val="20"/>
              </w:rPr>
              <w:t>Důraz je kladen na to, aby v </w:t>
            </w:r>
            <w:r>
              <w:rPr>
                <w:rFonts w:ascii="Arial" w:hAnsi="Arial" w:cs="Arial"/>
                <w:sz w:val="20"/>
              </w:rPr>
              <w:t>závěrečných</w:t>
            </w:r>
            <w:r w:rsidRPr="00E4268E">
              <w:rPr>
                <w:rFonts w:ascii="Arial" w:hAnsi="Arial" w:cs="Arial"/>
                <w:sz w:val="20"/>
              </w:rPr>
              <w:t xml:space="preserve"> pracích bylo čerpáno z cizojazyčné literatury.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E4268E">
              <w:rPr>
                <w:rFonts w:ascii="Arial" w:hAnsi="Arial" w:cs="Arial"/>
                <w:sz w:val="20"/>
              </w:rPr>
              <w:t xml:space="preserve">Cizojazyčná literatura je studenty </w:t>
            </w:r>
            <w:r>
              <w:rPr>
                <w:rFonts w:ascii="Arial" w:hAnsi="Arial" w:cs="Arial"/>
                <w:sz w:val="20"/>
              </w:rPr>
              <w:t xml:space="preserve">také </w:t>
            </w:r>
            <w:r w:rsidRPr="00E4268E">
              <w:rPr>
                <w:rFonts w:ascii="Arial" w:hAnsi="Arial" w:cs="Arial"/>
                <w:sz w:val="20"/>
              </w:rPr>
              <w:t>využívána zejm. pro přípravu prezentací na seminářích a pr</w:t>
            </w:r>
            <w:r>
              <w:rPr>
                <w:rFonts w:ascii="Arial" w:hAnsi="Arial" w:cs="Arial"/>
                <w:sz w:val="20"/>
              </w:rPr>
              <w:t>o tvorbu seminárních prací. U každého předmětu studijního plánu je uveden min. jeden cizojazyčný zdroj ať už v rámci povinné studijní literatury či doporučené literatury.</w:t>
            </w:r>
          </w:p>
        </w:tc>
      </w:tr>
      <w:tr w:rsidR="00012E61" w:rsidRPr="0058573E" w14:paraId="5E652328" w14:textId="77777777" w:rsidTr="00691411">
        <w:tc>
          <w:tcPr>
            <w:tcW w:w="9040" w:type="dxa"/>
            <w:gridSpan w:val="2"/>
          </w:tcPr>
          <w:p w14:paraId="54B22559" w14:textId="194BCC26" w:rsidR="00913651" w:rsidRPr="00BB6422" w:rsidRDefault="00913651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Mezinárodní spolupráce na výzkumné nebo umělecké činnosti </w:t>
            </w:r>
            <w:r w:rsidR="00BB6422" w:rsidRPr="00BB6422">
              <w:rPr>
                <w:rFonts w:ascii="Arial" w:hAnsi="Arial" w:cs="Arial"/>
                <w:b/>
                <w:sz w:val="20"/>
              </w:rPr>
              <w:t>související s obsahem studijního programu</w:t>
            </w:r>
          </w:p>
          <w:p w14:paraId="524FE731" w14:textId="4B51E54A" w:rsidR="00012E61" w:rsidRPr="00C14227" w:rsidRDefault="00913651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C14227">
              <w:rPr>
                <w:rFonts w:ascii="Arial" w:hAnsi="Arial" w:cs="Arial"/>
                <w:i/>
                <w:sz w:val="16"/>
                <w:szCs w:val="16"/>
              </w:rPr>
              <w:t xml:space="preserve">(popis </w:t>
            </w:r>
            <w:r w:rsidR="007C66A4" w:rsidRPr="00C14227">
              <w:rPr>
                <w:rFonts w:ascii="Arial" w:hAnsi="Arial" w:cs="Arial"/>
                <w:i/>
                <w:sz w:val="16"/>
                <w:szCs w:val="16"/>
              </w:rPr>
              <w:t xml:space="preserve">spolupráce se zahraničními institucemi a zapojení do mezinárodních programů v </w:t>
            </w:r>
            <w:r w:rsidR="00BB6422" w:rsidRPr="00C14227">
              <w:rPr>
                <w:rFonts w:ascii="Arial" w:hAnsi="Arial" w:cs="Arial"/>
                <w:i/>
                <w:sz w:val="16"/>
                <w:szCs w:val="16"/>
              </w:rPr>
              <w:t>letech RRRR-3 až RRRR</w:t>
            </w:r>
            <w:r w:rsidR="00561172" w:rsidRPr="00C14227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AA180A" w:rsidRPr="00C14227">
              <w:rPr>
                <w:rFonts w:ascii="Arial" w:hAnsi="Arial" w:cs="Arial"/>
                <w:i/>
                <w:sz w:val="16"/>
                <w:szCs w:val="16"/>
              </w:rPr>
              <w:t xml:space="preserve">s uvedením </w:t>
            </w:r>
            <w:r w:rsidR="004C69E7" w:rsidRPr="00C14227">
              <w:rPr>
                <w:rFonts w:ascii="Arial" w:hAnsi="Arial" w:cs="Arial"/>
                <w:i/>
                <w:sz w:val="16"/>
                <w:szCs w:val="16"/>
              </w:rPr>
              <w:t>výsledků – společných</w:t>
            </w:r>
            <w:r w:rsidR="00AA180A" w:rsidRPr="00C14227">
              <w:rPr>
                <w:rFonts w:ascii="Arial" w:hAnsi="Arial" w:cs="Arial"/>
                <w:i/>
                <w:sz w:val="16"/>
                <w:szCs w:val="16"/>
              </w:rPr>
              <w:t xml:space="preserve"> publikací, mezinárodní</w:t>
            </w:r>
            <w:r w:rsidR="00C01272">
              <w:rPr>
                <w:rFonts w:ascii="Arial" w:hAnsi="Arial" w:cs="Arial"/>
                <w:i/>
                <w:sz w:val="16"/>
                <w:szCs w:val="16"/>
              </w:rPr>
              <w:t>ch</w:t>
            </w:r>
            <w:r w:rsidR="00AA180A" w:rsidRPr="00C14227">
              <w:rPr>
                <w:rFonts w:ascii="Arial" w:hAnsi="Arial" w:cs="Arial"/>
                <w:i/>
                <w:sz w:val="16"/>
                <w:szCs w:val="16"/>
              </w:rPr>
              <w:t xml:space="preserve"> konferencí aj.)</w:t>
            </w:r>
            <w:r w:rsidRPr="00C14227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 w:rsidR="00012E61" w:rsidRPr="00C14227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 </w:t>
            </w:r>
          </w:p>
        </w:tc>
      </w:tr>
      <w:tr w:rsidR="00012E61" w:rsidRPr="0058573E" w14:paraId="25A71A21" w14:textId="77777777" w:rsidTr="00874904">
        <w:trPr>
          <w:trHeight w:val="3062"/>
        </w:trPr>
        <w:tc>
          <w:tcPr>
            <w:tcW w:w="9040" w:type="dxa"/>
            <w:gridSpan w:val="2"/>
          </w:tcPr>
          <w:p w14:paraId="53951F9F" w14:textId="77777777" w:rsidR="000A57CD" w:rsidRDefault="000A57CD" w:rsidP="000A57CD">
            <w:pPr>
              <w:jc w:val="both"/>
            </w:pPr>
            <w:r>
              <w:t xml:space="preserve">Mezinárodní spolupráce je navázána s </w:t>
            </w:r>
            <w:proofErr w:type="gramStart"/>
            <w:r w:rsidRPr="00CA5699">
              <w:t>Institute</w:t>
            </w:r>
            <w:proofErr w:type="gramEnd"/>
            <w:r w:rsidRPr="00CA5699">
              <w:t xml:space="preserve"> </w:t>
            </w:r>
            <w:proofErr w:type="spellStart"/>
            <w:r w:rsidRPr="00CA5699">
              <w:t>for</w:t>
            </w:r>
            <w:proofErr w:type="spellEnd"/>
            <w:r w:rsidRPr="00CA5699">
              <w:t xml:space="preserve"> </w:t>
            </w:r>
            <w:proofErr w:type="spellStart"/>
            <w:r w:rsidRPr="00CA5699">
              <w:t>Educ</w:t>
            </w:r>
            <w:r>
              <w:t>ational</w:t>
            </w:r>
            <w:proofErr w:type="spellEnd"/>
            <w:r>
              <w:t xml:space="preserve"> </w:t>
            </w:r>
            <w:proofErr w:type="spellStart"/>
            <w:r>
              <w:t>Research</w:t>
            </w:r>
            <w:proofErr w:type="spellEnd"/>
            <w:r>
              <w:t xml:space="preserve"> and </w:t>
            </w:r>
            <w:proofErr w:type="spellStart"/>
            <w:r>
              <w:t>Innovation</w:t>
            </w:r>
            <w:proofErr w:type="spellEnd"/>
            <w:r>
              <w:t>,</w:t>
            </w:r>
            <w:r w:rsidRPr="00CA5699">
              <w:t xml:space="preserve"> </w:t>
            </w:r>
            <w:proofErr w:type="spellStart"/>
            <w:r w:rsidRPr="00CA5699">
              <w:t>The</w:t>
            </w:r>
            <w:proofErr w:type="spellEnd"/>
            <w:r w:rsidRPr="00CA5699">
              <w:t xml:space="preserve"> University </w:t>
            </w:r>
            <w:proofErr w:type="spellStart"/>
            <w:r w:rsidRPr="00CA5699">
              <w:t>of</w:t>
            </w:r>
            <w:proofErr w:type="spellEnd"/>
            <w:r w:rsidRPr="00CA5699">
              <w:t xml:space="preserve"> </w:t>
            </w:r>
            <w:proofErr w:type="spellStart"/>
            <w:r w:rsidRPr="00CA5699">
              <w:t>the</w:t>
            </w:r>
            <w:proofErr w:type="spellEnd"/>
            <w:r w:rsidRPr="00CA5699">
              <w:t xml:space="preserve"> </w:t>
            </w:r>
            <w:proofErr w:type="spellStart"/>
            <w:r w:rsidRPr="00CA5699">
              <w:t>Balearic</w:t>
            </w:r>
            <w:proofErr w:type="spellEnd"/>
            <w:r w:rsidRPr="00CA5699">
              <w:t xml:space="preserve"> </w:t>
            </w:r>
            <w:proofErr w:type="spellStart"/>
            <w:r w:rsidRPr="00CA5699">
              <w:t>Islands</w:t>
            </w:r>
            <w:proofErr w:type="spellEnd"/>
            <w:r>
              <w:t xml:space="preserve">, </w:t>
            </w:r>
            <w:proofErr w:type="spellStart"/>
            <w:r>
              <w:t>Spain</w:t>
            </w:r>
            <w:proofErr w:type="spellEnd"/>
            <w:r>
              <w:t xml:space="preserve"> </w:t>
            </w:r>
            <w:r w:rsidRPr="00CA5699">
              <w:t xml:space="preserve">(Dr. Eva </w:t>
            </w:r>
            <w:proofErr w:type="spellStart"/>
            <w:r w:rsidRPr="00CA5699">
              <w:t>María</w:t>
            </w:r>
            <w:proofErr w:type="spellEnd"/>
            <w:r w:rsidRPr="00CA5699">
              <w:t xml:space="preserve"> </w:t>
            </w:r>
            <w:proofErr w:type="spellStart"/>
            <w:r w:rsidRPr="00CA5699">
              <w:t>Aguilar</w:t>
            </w:r>
            <w:proofErr w:type="spellEnd"/>
            <w:r w:rsidRPr="00CA5699">
              <w:t xml:space="preserve"> </w:t>
            </w:r>
            <w:proofErr w:type="spellStart"/>
            <w:r w:rsidRPr="00CA5699">
              <w:t>Mediavilla</w:t>
            </w:r>
            <w:proofErr w:type="spellEnd"/>
            <w:r w:rsidRPr="00CA5699">
              <w:t>)</w:t>
            </w:r>
            <w:r>
              <w:t xml:space="preserve">. Konkrétním příkladem je spolupráce na přípravě projektu GA ČR, ve kterém </w:t>
            </w:r>
            <w:r w:rsidRPr="00CA5699">
              <w:t xml:space="preserve">Institute </w:t>
            </w:r>
            <w:proofErr w:type="spellStart"/>
            <w:r w:rsidRPr="00CA5699">
              <w:t>for</w:t>
            </w:r>
            <w:proofErr w:type="spellEnd"/>
            <w:r w:rsidRPr="00CA5699">
              <w:t xml:space="preserve"> </w:t>
            </w:r>
            <w:proofErr w:type="spellStart"/>
            <w:r w:rsidRPr="00CA5699">
              <w:t>Educ</w:t>
            </w:r>
            <w:r>
              <w:t>ational</w:t>
            </w:r>
            <w:proofErr w:type="spellEnd"/>
            <w:r>
              <w:t xml:space="preserve"> </w:t>
            </w:r>
            <w:proofErr w:type="spellStart"/>
            <w:r>
              <w:t>Research</w:t>
            </w:r>
            <w:proofErr w:type="spellEnd"/>
            <w:r>
              <w:t xml:space="preserve"> and </w:t>
            </w:r>
            <w:proofErr w:type="spellStart"/>
            <w:r>
              <w:t>Innovation</w:t>
            </w:r>
            <w:proofErr w:type="spellEnd"/>
            <w:r>
              <w:t xml:space="preserve"> vystupuje jako spolupracující zahraniční partner. Spolupráce se týká hlubší konceptualizace teoretických východisek seberegulace žáků v kontextu digitálních technologií.</w:t>
            </w:r>
          </w:p>
          <w:p w14:paraId="518FBF7D" w14:textId="77777777" w:rsidR="000A57CD" w:rsidRDefault="000A57CD" w:rsidP="000A57CD">
            <w:pPr>
              <w:jc w:val="both"/>
            </w:pPr>
          </w:p>
          <w:p w14:paraId="6902A5FF" w14:textId="26F555C1" w:rsidR="003F6125" w:rsidRPr="00F363C1" w:rsidRDefault="000A57CD" w:rsidP="00F363C1">
            <w:pPr>
              <w:jc w:val="both"/>
              <w:rPr>
                <w:rFonts w:eastAsia="Times New Roman" w:cs="Times New Roman"/>
                <w:szCs w:val="24"/>
                <w:lang w:eastAsia="cs-CZ"/>
              </w:rPr>
            </w:pPr>
            <w:r w:rsidRPr="00CA5699">
              <w:t xml:space="preserve">Dlouhodobou spolupráci se zahraničním partnerem má pracoviště s Fakultou etnologie </w:t>
            </w:r>
            <w:r>
              <w:br/>
            </w:r>
            <w:r w:rsidRPr="00CA5699">
              <w:t xml:space="preserve">a pedagogických věd, Slezské univerzity v Katovicích, Polsko. Spolupráce se orientuje zejm. </w:t>
            </w:r>
            <w:r>
              <w:br/>
            </w:r>
            <w:r w:rsidRPr="00CA5699">
              <w:t>na společné publikační vý</w:t>
            </w:r>
            <w:r>
              <w:t xml:space="preserve">stupy: </w:t>
            </w:r>
            <w:r w:rsidRPr="00CA5699">
              <w:t xml:space="preserve">Balvín, J., </w:t>
            </w:r>
            <w:proofErr w:type="spellStart"/>
            <w:r w:rsidRPr="00CA5699">
              <w:t>Kowalczyk</w:t>
            </w:r>
            <w:proofErr w:type="spellEnd"/>
            <w:r w:rsidRPr="00CA5699">
              <w:t>, M. E., &amp; Kwadrans, Ł. (</w:t>
            </w:r>
            <w:proofErr w:type="spellStart"/>
            <w:r w:rsidRPr="00CA5699">
              <w:t>Eds</w:t>
            </w:r>
            <w:proofErr w:type="spellEnd"/>
            <w:r w:rsidRPr="00CA5699">
              <w:t xml:space="preserve">.). (2011). </w:t>
            </w:r>
            <w:proofErr w:type="spellStart"/>
            <w:r w:rsidRPr="00CA5699">
              <w:rPr>
                <w:i/>
                <w:iCs/>
              </w:rPr>
              <w:t>Situation</w:t>
            </w:r>
            <w:proofErr w:type="spellEnd"/>
            <w:r w:rsidRPr="00CA5699">
              <w:rPr>
                <w:i/>
                <w:iCs/>
              </w:rPr>
              <w:t xml:space="preserve"> </w:t>
            </w:r>
            <w:proofErr w:type="spellStart"/>
            <w:r w:rsidRPr="00CA5699">
              <w:rPr>
                <w:i/>
                <w:iCs/>
              </w:rPr>
              <w:t>of</w:t>
            </w:r>
            <w:proofErr w:type="spellEnd"/>
            <w:r w:rsidRPr="00CA5699">
              <w:rPr>
                <w:i/>
                <w:iCs/>
              </w:rPr>
              <w:t xml:space="preserve"> </w:t>
            </w:r>
            <w:proofErr w:type="spellStart"/>
            <w:r w:rsidRPr="00CA5699">
              <w:rPr>
                <w:i/>
                <w:iCs/>
              </w:rPr>
              <w:t>the</w:t>
            </w:r>
            <w:proofErr w:type="spellEnd"/>
            <w:r w:rsidRPr="00CA5699">
              <w:rPr>
                <w:i/>
                <w:iCs/>
              </w:rPr>
              <w:t xml:space="preserve"> Roma Minority in </w:t>
            </w:r>
            <w:proofErr w:type="spellStart"/>
            <w:r w:rsidRPr="00CA5699">
              <w:rPr>
                <w:i/>
                <w:iCs/>
              </w:rPr>
              <w:t>the</w:t>
            </w:r>
            <w:proofErr w:type="spellEnd"/>
            <w:r w:rsidRPr="00CA5699">
              <w:rPr>
                <w:i/>
                <w:iCs/>
              </w:rPr>
              <w:t xml:space="preserve"> Czech Republic, </w:t>
            </w:r>
            <w:proofErr w:type="spellStart"/>
            <w:r w:rsidRPr="00CA5699">
              <w:rPr>
                <w:i/>
                <w:iCs/>
              </w:rPr>
              <w:t>Hungary</w:t>
            </w:r>
            <w:proofErr w:type="spellEnd"/>
            <w:r w:rsidRPr="00CA5699">
              <w:rPr>
                <w:i/>
                <w:iCs/>
              </w:rPr>
              <w:t xml:space="preserve">, </w:t>
            </w:r>
            <w:proofErr w:type="spellStart"/>
            <w:r w:rsidRPr="00CA5699">
              <w:rPr>
                <w:i/>
                <w:iCs/>
              </w:rPr>
              <w:t>Poland</w:t>
            </w:r>
            <w:proofErr w:type="spellEnd"/>
            <w:r w:rsidRPr="00CA5699">
              <w:rPr>
                <w:i/>
                <w:iCs/>
              </w:rPr>
              <w:t xml:space="preserve"> and Slovakia</w:t>
            </w:r>
            <w:r w:rsidRPr="00CA5699">
              <w:t xml:space="preserve">. </w:t>
            </w:r>
            <w:proofErr w:type="spellStart"/>
            <w:r w:rsidRPr="00CA5699">
              <w:t>Founda</w:t>
            </w:r>
            <w:r>
              <w:t>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Social</w:t>
            </w:r>
            <w:proofErr w:type="spellEnd"/>
            <w:r>
              <w:t xml:space="preserve"> </w:t>
            </w:r>
            <w:proofErr w:type="spellStart"/>
            <w:r>
              <w:t>Integration</w:t>
            </w:r>
            <w:proofErr w:type="spellEnd"/>
            <w:r>
              <w:t xml:space="preserve"> </w:t>
            </w:r>
            <w:proofErr w:type="spellStart"/>
            <w:r>
              <w:t>Prom</w:t>
            </w:r>
            <w:proofErr w:type="spellEnd"/>
            <w:r>
              <w:t>;</w:t>
            </w:r>
            <w:r w:rsidRPr="00CA5699">
              <w:t xml:space="preserve"> </w:t>
            </w:r>
            <w:proofErr w:type="spellStart"/>
            <w:r w:rsidRPr="00CA5699">
              <w:t>Haburajová</w:t>
            </w:r>
            <w:proofErr w:type="spellEnd"/>
            <w:r w:rsidRPr="00CA5699">
              <w:t xml:space="preserve"> </w:t>
            </w:r>
            <w:proofErr w:type="spellStart"/>
            <w:r w:rsidRPr="00CA5699">
              <w:t>Ilavská</w:t>
            </w:r>
            <w:proofErr w:type="spellEnd"/>
            <w:r w:rsidRPr="00CA5699">
              <w:t xml:space="preserve">, L., Kwadrans, Ł., &amp; </w:t>
            </w:r>
            <w:proofErr w:type="spellStart"/>
            <w:r w:rsidRPr="00CA5699">
              <w:t>Baková</w:t>
            </w:r>
            <w:proofErr w:type="spellEnd"/>
            <w:r w:rsidRPr="00CA5699">
              <w:t xml:space="preserve">, D. (2015). </w:t>
            </w:r>
            <w:proofErr w:type="spellStart"/>
            <w:r w:rsidRPr="00CA5699">
              <w:t>Komparácia</w:t>
            </w:r>
            <w:proofErr w:type="spellEnd"/>
            <w:r w:rsidRPr="00CA5699">
              <w:t xml:space="preserve"> </w:t>
            </w:r>
            <w:proofErr w:type="spellStart"/>
            <w:r w:rsidRPr="00CA5699">
              <w:t>mediácie</w:t>
            </w:r>
            <w:proofErr w:type="spellEnd"/>
            <w:r w:rsidRPr="00CA5699">
              <w:t xml:space="preserve"> v </w:t>
            </w:r>
            <w:proofErr w:type="spellStart"/>
            <w:r w:rsidRPr="00CA5699">
              <w:t>podmienkach</w:t>
            </w:r>
            <w:proofErr w:type="spellEnd"/>
            <w:r w:rsidRPr="00CA5699">
              <w:t xml:space="preserve"> </w:t>
            </w:r>
            <w:proofErr w:type="spellStart"/>
            <w:r w:rsidRPr="00CA5699">
              <w:t>Slovenskej</w:t>
            </w:r>
            <w:proofErr w:type="spellEnd"/>
            <w:r w:rsidRPr="00CA5699">
              <w:t xml:space="preserve"> republiky a </w:t>
            </w:r>
            <w:proofErr w:type="spellStart"/>
            <w:r w:rsidRPr="00CA5699">
              <w:t>Poľska</w:t>
            </w:r>
            <w:proofErr w:type="spellEnd"/>
            <w:r w:rsidRPr="00CA5699">
              <w:t xml:space="preserve">. </w:t>
            </w:r>
            <w:proofErr w:type="gramStart"/>
            <w:r w:rsidRPr="00CA5699">
              <w:rPr>
                <w:i/>
                <w:iCs/>
              </w:rPr>
              <w:t>OBEC</w:t>
            </w:r>
            <w:proofErr w:type="gramEnd"/>
            <w:r w:rsidRPr="00CA5699">
              <w:rPr>
                <w:i/>
                <w:iCs/>
              </w:rPr>
              <w:t>–</w:t>
            </w:r>
            <w:proofErr w:type="gramStart"/>
            <w:r w:rsidRPr="00CA5699">
              <w:rPr>
                <w:i/>
                <w:iCs/>
              </w:rPr>
              <w:t>ŠKOLA-MEDÁCIA</w:t>
            </w:r>
            <w:proofErr w:type="gramEnd"/>
            <w:r>
              <w:t>, 85;</w:t>
            </w:r>
            <w:r w:rsidRPr="006F4EA9">
              <w:t xml:space="preserve"> </w:t>
            </w:r>
            <w:r w:rsidRPr="006F4EA9">
              <w:rPr>
                <w:rFonts w:eastAsia="Times New Roman" w:cs="Times New Roman"/>
                <w:szCs w:val="24"/>
                <w:lang w:eastAsia="cs-CZ"/>
              </w:rPr>
              <w:t xml:space="preserve">Haburajová Ilavská, L., Kwadrans, Ł., &amp; </w:t>
            </w:r>
            <w:proofErr w:type="spellStart"/>
            <w:r w:rsidRPr="006F4EA9">
              <w:rPr>
                <w:rFonts w:eastAsia="Times New Roman" w:cs="Times New Roman"/>
                <w:szCs w:val="24"/>
                <w:lang w:eastAsia="cs-CZ"/>
              </w:rPr>
              <w:t>Lešková</w:t>
            </w:r>
            <w:proofErr w:type="spellEnd"/>
            <w:r w:rsidRPr="006F4EA9">
              <w:rPr>
                <w:rFonts w:eastAsia="Times New Roman" w:cs="Times New Roman"/>
                <w:szCs w:val="24"/>
                <w:lang w:eastAsia="cs-CZ"/>
              </w:rPr>
              <w:t xml:space="preserve">, L. (2022). Care </w:t>
            </w:r>
            <w:proofErr w:type="spellStart"/>
            <w:r w:rsidRPr="006F4EA9">
              <w:rPr>
                <w:rFonts w:eastAsia="Times New Roman" w:cs="Times New Roman"/>
                <w:szCs w:val="24"/>
                <w:lang w:eastAsia="cs-CZ"/>
              </w:rPr>
              <w:t>of</w:t>
            </w:r>
            <w:proofErr w:type="spellEnd"/>
            <w:r w:rsidRPr="006F4EA9">
              <w:rPr>
                <w:rFonts w:eastAsia="Times New Roman" w:cs="Times New Roman"/>
                <w:szCs w:val="24"/>
                <w:lang w:eastAsia="cs-CZ"/>
              </w:rPr>
              <w:t xml:space="preserve"> a </w:t>
            </w:r>
            <w:proofErr w:type="spellStart"/>
            <w:r w:rsidRPr="006F4EA9">
              <w:rPr>
                <w:rFonts w:eastAsia="Times New Roman" w:cs="Times New Roman"/>
                <w:szCs w:val="24"/>
                <w:lang w:eastAsia="cs-CZ"/>
              </w:rPr>
              <w:t>Close</w:t>
            </w:r>
            <w:proofErr w:type="spellEnd"/>
            <w:r w:rsidRPr="006F4EA9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proofErr w:type="spellStart"/>
            <w:r w:rsidRPr="006F4EA9">
              <w:rPr>
                <w:rFonts w:eastAsia="Times New Roman" w:cs="Times New Roman"/>
                <w:szCs w:val="24"/>
                <w:lang w:eastAsia="cs-CZ"/>
              </w:rPr>
              <w:t>Relative</w:t>
            </w:r>
            <w:proofErr w:type="spellEnd"/>
            <w:r w:rsidRPr="006F4EA9">
              <w:rPr>
                <w:rFonts w:eastAsia="Times New Roman" w:cs="Times New Roman"/>
                <w:szCs w:val="24"/>
                <w:lang w:eastAsia="cs-CZ"/>
              </w:rPr>
              <w:t xml:space="preserve"> as a </w:t>
            </w:r>
            <w:proofErr w:type="spellStart"/>
            <w:r w:rsidRPr="006F4EA9">
              <w:rPr>
                <w:rFonts w:eastAsia="Times New Roman" w:cs="Times New Roman"/>
                <w:szCs w:val="24"/>
                <w:lang w:eastAsia="cs-CZ"/>
              </w:rPr>
              <w:t>Change</w:t>
            </w:r>
            <w:proofErr w:type="spellEnd"/>
            <w:r w:rsidRPr="006F4EA9">
              <w:rPr>
                <w:rFonts w:eastAsia="Times New Roman" w:cs="Times New Roman"/>
                <w:szCs w:val="24"/>
                <w:lang w:eastAsia="cs-CZ"/>
              </w:rPr>
              <w:t xml:space="preserve"> in </w:t>
            </w:r>
            <w:proofErr w:type="spellStart"/>
            <w:r w:rsidRPr="006F4EA9">
              <w:rPr>
                <w:rFonts w:eastAsia="Times New Roman" w:cs="Times New Roman"/>
                <w:szCs w:val="24"/>
                <w:lang w:eastAsia="cs-CZ"/>
              </w:rPr>
              <w:t>the</w:t>
            </w:r>
            <w:proofErr w:type="spellEnd"/>
            <w:r w:rsidRPr="006F4EA9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proofErr w:type="spellStart"/>
            <w:r w:rsidRPr="006F4EA9">
              <w:rPr>
                <w:rFonts w:eastAsia="Times New Roman" w:cs="Times New Roman"/>
                <w:szCs w:val="24"/>
                <w:lang w:eastAsia="cs-CZ"/>
              </w:rPr>
              <w:t>Carer’s</w:t>
            </w:r>
            <w:proofErr w:type="spellEnd"/>
            <w:r w:rsidRPr="006F4EA9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proofErr w:type="spellStart"/>
            <w:r w:rsidRPr="006F4EA9">
              <w:rPr>
                <w:rFonts w:eastAsia="Times New Roman" w:cs="Times New Roman"/>
                <w:szCs w:val="24"/>
                <w:lang w:eastAsia="cs-CZ"/>
              </w:rPr>
              <w:t>Lifestyle</w:t>
            </w:r>
            <w:proofErr w:type="spellEnd"/>
            <w:r w:rsidRPr="006F4EA9">
              <w:rPr>
                <w:rFonts w:eastAsia="Times New Roman" w:cs="Times New Roman"/>
                <w:szCs w:val="24"/>
                <w:lang w:eastAsia="cs-CZ"/>
              </w:rPr>
              <w:t xml:space="preserve"> and </w:t>
            </w:r>
            <w:proofErr w:type="spellStart"/>
            <w:r w:rsidRPr="006F4EA9">
              <w:rPr>
                <w:rFonts w:eastAsia="Times New Roman" w:cs="Times New Roman"/>
                <w:szCs w:val="24"/>
                <w:lang w:eastAsia="cs-CZ"/>
              </w:rPr>
              <w:t>Social</w:t>
            </w:r>
            <w:proofErr w:type="spellEnd"/>
            <w:r w:rsidRPr="006F4EA9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proofErr w:type="spellStart"/>
            <w:r w:rsidRPr="006F4EA9">
              <w:rPr>
                <w:rFonts w:eastAsia="Times New Roman" w:cs="Times New Roman"/>
                <w:szCs w:val="24"/>
                <w:lang w:eastAsia="cs-CZ"/>
              </w:rPr>
              <w:t>Situation</w:t>
            </w:r>
            <w:proofErr w:type="spellEnd"/>
            <w:r w:rsidRPr="006F4EA9">
              <w:rPr>
                <w:rFonts w:eastAsia="Times New Roman" w:cs="Times New Roman"/>
                <w:szCs w:val="24"/>
                <w:lang w:eastAsia="cs-CZ"/>
              </w:rPr>
              <w:t xml:space="preserve">. </w:t>
            </w:r>
            <w:r w:rsidRPr="006F4EA9">
              <w:rPr>
                <w:rFonts w:eastAsia="Times New Roman" w:cs="Times New Roman"/>
                <w:i/>
                <w:iCs/>
                <w:szCs w:val="24"/>
                <w:lang w:eastAsia="cs-CZ"/>
              </w:rPr>
              <w:t xml:space="preserve">Kultura i </w:t>
            </w:r>
            <w:proofErr w:type="spellStart"/>
            <w:r w:rsidRPr="006F4EA9">
              <w:rPr>
                <w:rFonts w:eastAsia="Times New Roman" w:cs="Times New Roman"/>
                <w:i/>
                <w:iCs/>
                <w:szCs w:val="24"/>
                <w:lang w:eastAsia="cs-CZ"/>
              </w:rPr>
              <w:t>Edukacja</w:t>
            </w:r>
            <w:proofErr w:type="spellEnd"/>
            <w:r>
              <w:rPr>
                <w:rFonts w:eastAsia="Times New Roman" w:cs="Times New Roman"/>
                <w:szCs w:val="24"/>
                <w:lang w:eastAsia="cs-CZ"/>
              </w:rPr>
              <w:t xml:space="preserve">, </w:t>
            </w:r>
            <w:r w:rsidRPr="006F4EA9">
              <w:rPr>
                <w:rFonts w:eastAsia="Times New Roman" w:cs="Times New Roman"/>
                <w:i/>
                <w:szCs w:val="24"/>
                <w:lang w:eastAsia="cs-CZ"/>
              </w:rPr>
              <w:t>4</w:t>
            </w:r>
            <w:r>
              <w:rPr>
                <w:rFonts w:eastAsia="Times New Roman" w:cs="Times New Roman"/>
                <w:szCs w:val="24"/>
                <w:lang w:eastAsia="cs-CZ"/>
              </w:rPr>
              <w:t xml:space="preserve"> (138), 45-61.). Spolupráce s tímto pracovištěm je rozvíjena také v souvislosti se zapojením pracovníků ÚPV do recenzní činnosti pro časopis </w:t>
            </w:r>
            <w:proofErr w:type="spellStart"/>
            <w:r w:rsidRPr="00112848">
              <w:rPr>
                <w:rFonts w:eastAsia="Times New Roman" w:cs="Times New Roman"/>
                <w:szCs w:val="24"/>
                <w:lang w:eastAsia="cs-CZ"/>
              </w:rPr>
              <w:t>Edukacja</w:t>
            </w:r>
            <w:proofErr w:type="spellEnd"/>
            <w:r w:rsidRPr="0011284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proofErr w:type="spellStart"/>
            <w:r w:rsidRPr="00112848">
              <w:rPr>
                <w:rFonts w:eastAsia="Times New Roman" w:cs="Times New Roman"/>
                <w:szCs w:val="24"/>
                <w:lang w:eastAsia="cs-CZ"/>
              </w:rPr>
              <w:t>Międzykulturowa</w:t>
            </w:r>
            <w:proofErr w:type="spellEnd"/>
            <w:r>
              <w:rPr>
                <w:rFonts w:eastAsia="Times New Roman" w:cs="Times New Roman"/>
                <w:szCs w:val="24"/>
                <w:lang w:eastAsia="cs-CZ"/>
              </w:rPr>
              <w:t>.</w:t>
            </w:r>
          </w:p>
        </w:tc>
      </w:tr>
    </w:tbl>
    <w:p w14:paraId="59429D67" w14:textId="77777777" w:rsidR="00731CAB" w:rsidRPr="00731CAB" w:rsidRDefault="00731CAB" w:rsidP="009D3E7F">
      <w:pPr>
        <w:pStyle w:val="Bezmezer"/>
        <w:ind w:right="283"/>
        <w:rPr>
          <w:rFonts w:ascii="Arial" w:hAnsi="Arial" w:cs="Arial"/>
          <w:b/>
          <w:color w:val="7030A0"/>
          <w:sz w:val="32"/>
          <w:szCs w:val="32"/>
        </w:rPr>
      </w:pPr>
    </w:p>
    <w:p w14:paraId="0AD30E61" w14:textId="04BA3FFB" w:rsidR="000F15F7" w:rsidRDefault="000F15F7" w:rsidP="00F57673">
      <w:pPr>
        <w:pStyle w:val="Bezmezer"/>
        <w:ind w:right="283"/>
        <w:rPr>
          <w:rFonts w:ascii="Arial" w:hAnsi="Arial" w:cs="Arial"/>
          <w:color w:val="7030A0"/>
          <w:sz w:val="32"/>
          <w:szCs w:val="32"/>
        </w:rPr>
        <w:sectPr w:rsidR="000F15F7" w:rsidSect="00A1314D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138820FA" w14:textId="5CCE22C1" w:rsidR="00F57673" w:rsidRPr="00F75C3F" w:rsidRDefault="00F75C3F" w:rsidP="00F57673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 w:rsidRPr="00F75C3F">
        <w:rPr>
          <w:rFonts w:cs="Arial"/>
          <w:b/>
          <w:color w:val="C45911" w:themeColor="accent2" w:themeShade="BF"/>
          <w:sz w:val="32"/>
          <w:szCs w:val="32"/>
        </w:rPr>
        <w:lastRenderedPageBreak/>
        <w:t xml:space="preserve">Část 5.) </w:t>
      </w:r>
      <w:r w:rsidR="00F57673" w:rsidRPr="00F75C3F">
        <w:rPr>
          <w:rFonts w:cs="Arial"/>
          <w:b/>
          <w:color w:val="C45911" w:themeColor="accent2" w:themeShade="BF"/>
          <w:sz w:val="32"/>
          <w:szCs w:val="32"/>
        </w:rPr>
        <w:t>Výsledky hodnocení bakalářských</w:t>
      </w:r>
      <w:r w:rsidR="005320DB" w:rsidRPr="00F75C3F">
        <w:rPr>
          <w:rFonts w:cs="Arial"/>
          <w:b/>
          <w:color w:val="C45911" w:themeColor="accent2" w:themeShade="BF"/>
          <w:sz w:val="32"/>
          <w:szCs w:val="32"/>
        </w:rPr>
        <w:t>/diplomových</w:t>
      </w:r>
      <w:r w:rsidR="00180C01">
        <w:rPr>
          <w:rFonts w:cs="Arial"/>
          <w:b/>
          <w:color w:val="C45911" w:themeColor="accent2" w:themeShade="BF"/>
          <w:sz w:val="32"/>
          <w:szCs w:val="32"/>
        </w:rPr>
        <w:t>/disertačních</w:t>
      </w:r>
      <w:r w:rsidR="00F57673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 prací </w:t>
      </w:r>
    </w:p>
    <w:p w14:paraId="57F49197" w14:textId="1009BA11" w:rsidR="00F57673" w:rsidRDefault="00F57673" w:rsidP="00B769CE">
      <w:pPr>
        <w:ind w:right="454"/>
        <w:rPr>
          <w:rFonts w:cs="Arial"/>
          <w:color w:val="7030A0"/>
          <w:sz w:val="32"/>
          <w:szCs w:val="32"/>
        </w:rPr>
      </w:pPr>
    </w:p>
    <w:tbl>
      <w:tblPr>
        <w:tblStyle w:val="Mkatabulky"/>
        <w:tblW w:w="9040" w:type="dxa"/>
        <w:tblLook w:val="04A0" w:firstRow="1" w:lastRow="0" w:firstColumn="1" w:lastColumn="0" w:noHBand="0" w:noVBand="1"/>
      </w:tblPr>
      <w:tblGrid>
        <w:gridCol w:w="856"/>
        <w:gridCol w:w="699"/>
        <w:gridCol w:w="2528"/>
        <w:gridCol w:w="1124"/>
        <w:gridCol w:w="1124"/>
        <w:gridCol w:w="1245"/>
        <w:gridCol w:w="1464"/>
      </w:tblGrid>
      <w:tr w:rsidR="00F75C3F" w:rsidRPr="004E7679" w14:paraId="65F68FB6" w14:textId="77777777" w:rsidTr="00160D7F">
        <w:trPr>
          <w:trHeight w:val="583"/>
        </w:trPr>
        <w:tc>
          <w:tcPr>
            <w:tcW w:w="856" w:type="dxa"/>
            <w:shd w:val="clear" w:color="auto" w:fill="F7CAAC" w:themeFill="accent2" w:themeFillTint="66"/>
            <w:noWrap/>
            <w:hideMark/>
          </w:tcPr>
          <w:p w14:paraId="3DB16F59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3227" w:type="dxa"/>
            <w:gridSpan w:val="2"/>
            <w:shd w:val="clear" w:color="auto" w:fill="F7CAAC" w:themeFill="accent2" w:themeFillTint="66"/>
            <w:hideMark/>
          </w:tcPr>
          <w:p w14:paraId="5B096CC4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 Počet obhajovaných prací </w:t>
            </w:r>
          </w:p>
        </w:tc>
        <w:tc>
          <w:tcPr>
            <w:tcW w:w="1124" w:type="dxa"/>
            <w:shd w:val="clear" w:color="auto" w:fill="F7CAAC" w:themeFill="accent2" w:themeFillTint="66"/>
            <w:hideMark/>
          </w:tcPr>
          <w:p w14:paraId="139E8754" w14:textId="05609E24" w:rsidR="004E7679" w:rsidRPr="004E7679" w:rsidRDefault="000A57CD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2020/2021</w:t>
            </w:r>
          </w:p>
        </w:tc>
        <w:tc>
          <w:tcPr>
            <w:tcW w:w="1124" w:type="dxa"/>
            <w:shd w:val="clear" w:color="auto" w:fill="F7CAAC" w:themeFill="accent2" w:themeFillTint="66"/>
            <w:hideMark/>
          </w:tcPr>
          <w:p w14:paraId="43BA591D" w14:textId="64C4EECB" w:rsidR="004E7679" w:rsidRPr="004E7679" w:rsidRDefault="000A57CD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2021/2022</w:t>
            </w:r>
          </w:p>
        </w:tc>
        <w:tc>
          <w:tcPr>
            <w:tcW w:w="1245" w:type="dxa"/>
            <w:shd w:val="clear" w:color="auto" w:fill="F7CAAC" w:themeFill="accent2" w:themeFillTint="66"/>
            <w:hideMark/>
          </w:tcPr>
          <w:p w14:paraId="5EF97ED5" w14:textId="100B89DA" w:rsidR="004E7679" w:rsidRPr="004E7679" w:rsidRDefault="000A57CD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2022/2023</w:t>
            </w:r>
          </w:p>
        </w:tc>
        <w:tc>
          <w:tcPr>
            <w:tcW w:w="1464" w:type="dxa"/>
            <w:shd w:val="clear" w:color="auto" w:fill="F7CAAC" w:themeFill="accent2" w:themeFillTint="66"/>
            <w:hideMark/>
          </w:tcPr>
          <w:p w14:paraId="24838E4B" w14:textId="4D63AC93" w:rsidR="004E7679" w:rsidRPr="004E7679" w:rsidRDefault="000A57CD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2023/2024</w:t>
            </w:r>
          </w:p>
        </w:tc>
      </w:tr>
      <w:tr w:rsidR="004E7679" w:rsidRPr="004E7679" w14:paraId="7795605A" w14:textId="77777777" w:rsidTr="009C7185">
        <w:trPr>
          <w:trHeight w:val="306"/>
        </w:trPr>
        <w:tc>
          <w:tcPr>
            <w:tcW w:w="856" w:type="dxa"/>
            <w:vMerge w:val="restart"/>
            <w:noWrap/>
            <w:textDirection w:val="btLr"/>
            <w:hideMark/>
          </w:tcPr>
          <w:p w14:paraId="3EF4295C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Prezenční</w:t>
            </w:r>
          </w:p>
        </w:tc>
        <w:tc>
          <w:tcPr>
            <w:tcW w:w="3227" w:type="dxa"/>
            <w:gridSpan w:val="2"/>
            <w:hideMark/>
          </w:tcPr>
          <w:p w14:paraId="37E38C02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Obhajované práce </w:t>
            </w:r>
          </w:p>
        </w:tc>
        <w:tc>
          <w:tcPr>
            <w:tcW w:w="1124" w:type="dxa"/>
            <w:vAlign w:val="center"/>
            <w:hideMark/>
          </w:tcPr>
          <w:p w14:paraId="2F7EFD8C" w14:textId="382B5B0B" w:rsidR="004E7679" w:rsidRPr="004E7679" w:rsidRDefault="00DD3CBC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49</w:t>
            </w:r>
          </w:p>
        </w:tc>
        <w:tc>
          <w:tcPr>
            <w:tcW w:w="1124" w:type="dxa"/>
            <w:vAlign w:val="center"/>
            <w:hideMark/>
          </w:tcPr>
          <w:p w14:paraId="35D1AF03" w14:textId="62612978" w:rsidR="004E7679" w:rsidRPr="004E7679" w:rsidRDefault="00CB5D4B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36</w:t>
            </w:r>
          </w:p>
        </w:tc>
        <w:tc>
          <w:tcPr>
            <w:tcW w:w="1245" w:type="dxa"/>
            <w:vAlign w:val="center"/>
            <w:hideMark/>
          </w:tcPr>
          <w:p w14:paraId="4833E70C" w14:textId="3E00F40F" w:rsidR="004E7679" w:rsidRPr="004E7679" w:rsidRDefault="00CB5D4B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35</w:t>
            </w:r>
          </w:p>
        </w:tc>
        <w:tc>
          <w:tcPr>
            <w:tcW w:w="1464" w:type="dxa"/>
            <w:vAlign w:val="center"/>
            <w:hideMark/>
          </w:tcPr>
          <w:p w14:paraId="0A3392DA" w14:textId="5614294D" w:rsidR="004E7679" w:rsidRPr="004E7679" w:rsidRDefault="00020A37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48</w:t>
            </w:r>
          </w:p>
        </w:tc>
      </w:tr>
      <w:tr w:rsidR="00F75C3F" w:rsidRPr="004E7679" w14:paraId="55EBD531" w14:textId="77777777" w:rsidTr="009C7185">
        <w:trPr>
          <w:trHeight w:val="568"/>
        </w:trPr>
        <w:tc>
          <w:tcPr>
            <w:tcW w:w="856" w:type="dxa"/>
            <w:vMerge/>
            <w:hideMark/>
          </w:tcPr>
          <w:p w14:paraId="389E4E83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 w:val="restart"/>
            <w:noWrap/>
            <w:textDirection w:val="btLr"/>
            <w:hideMark/>
          </w:tcPr>
          <w:p w14:paraId="2C36CE22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 toho</w:t>
            </w:r>
          </w:p>
        </w:tc>
        <w:tc>
          <w:tcPr>
            <w:tcW w:w="2528" w:type="dxa"/>
            <w:hideMark/>
          </w:tcPr>
          <w:p w14:paraId="4D8EC053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Úspěšně obhájené práce</w:t>
            </w:r>
            <w:r w:rsidRPr="004E7679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124" w:type="dxa"/>
            <w:vAlign w:val="center"/>
            <w:hideMark/>
          </w:tcPr>
          <w:p w14:paraId="7874FF0C" w14:textId="72509354" w:rsidR="004E7679" w:rsidRPr="004E7679" w:rsidRDefault="00DD3CBC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48</w:t>
            </w:r>
          </w:p>
        </w:tc>
        <w:tc>
          <w:tcPr>
            <w:tcW w:w="1124" w:type="dxa"/>
            <w:vAlign w:val="center"/>
            <w:hideMark/>
          </w:tcPr>
          <w:p w14:paraId="3B6979D4" w14:textId="33863388" w:rsidR="004E7679" w:rsidRPr="004E7679" w:rsidRDefault="00CB5D4B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36</w:t>
            </w:r>
          </w:p>
        </w:tc>
        <w:tc>
          <w:tcPr>
            <w:tcW w:w="1245" w:type="dxa"/>
            <w:vAlign w:val="center"/>
            <w:hideMark/>
          </w:tcPr>
          <w:p w14:paraId="58738744" w14:textId="459FC934" w:rsidR="004E7679" w:rsidRPr="004E7679" w:rsidRDefault="00CB5D4B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34</w:t>
            </w:r>
          </w:p>
        </w:tc>
        <w:tc>
          <w:tcPr>
            <w:tcW w:w="1464" w:type="dxa"/>
            <w:vAlign w:val="center"/>
            <w:hideMark/>
          </w:tcPr>
          <w:p w14:paraId="63191FF5" w14:textId="4E35A36B" w:rsidR="004E7679" w:rsidRPr="004E7679" w:rsidRDefault="00020A37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47</w:t>
            </w:r>
          </w:p>
        </w:tc>
      </w:tr>
      <w:tr w:rsidR="004E7679" w:rsidRPr="004E7679" w14:paraId="03FB165F" w14:textId="77777777" w:rsidTr="009C7185">
        <w:trPr>
          <w:trHeight w:val="894"/>
        </w:trPr>
        <w:tc>
          <w:tcPr>
            <w:tcW w:w="856" w:type="dxa"/>
            <w:vMerge/>
            <w:hideMark/>
          </w:tcPr>
          <w:p w14:paraId="535E94D0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6E7FCB7F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hideMark/>
          </w:tcPr>
          <w:p w14:paraId="37AEC278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osobou bez vzdělání, které by bylo alespoň o jeden stupeň vyšší než stupeň studia</w:t>
            </w:r>
          </w:p>
        </w:tc>
        <w:tc>
          <w:tcPr>
            <w:tcW w:w="1124" w:type="dxa"/>
            <w:vAlign w:val="center"/>
            <w:hideMark/>
          </w:tcPr>
          <w:p w14:paraId="46674ED5" w14:textId="1830F1A8" w:rsidR="004E7679" w:rsidRPr="004E7679" w:rsidRDefault="00DD3CBC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vAlign w:val="center"/>
            <w:hideMark/>
          </w:tcPr>
          <w:p w14:paraId="04482809" w14:textId="3E73AF97" w:rsidR="004E7679" w:rsidRPr="004E7679" w:rsidRDefault="00CB5D4B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245" w:type="dxa"/>
            <w:vAlign w:val="center"/>
            <w:hideMark/>
          </w:tcPr>
          <w:p w14:paraId="5F348EE6" w14:textId="1DF69CFF" w:rsidR="004E7679" w:rsidRPr="004E7679" w:rsidRDefault="00CB5D4B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64" w:type="dxa"/>
            <w:vAlign w:val="center"/>
            <w:hideMark/>
          </w:tcPr>
          <w:p w14:paraId="7E5AFF24" w14:textId="7ACB3069" w:rsidR="004E7679" w:rsidRPr="004E7679" w:rsidRDefault="007D7814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4E7679" w:rsidRPr="004E7679" w14:paraId="06383417" w14:textId="77777777" w:rsidTr="009C7185">
        <w:trPr>
          <w:trHeight w:val="452"/>
        </w:trPr>
        <w:tc>
          <w:tcPr>
            <w:tcW w:w="856" w:type="dxa"/>
            <w:vMerge/>
            <w:hideMark/>
          </w:tcPr>
          <w:p w14:paraId="5295EB97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5C7BD8B8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 w:val="restart"/>
            <w:hideMark/>
          </w:tcPr>
          <w:p w14:paraId="1635F505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externisty</w:t>
            </w:r>
          </w:p>
        </w:tc>
        <w:tc>
          <w:tcPr>
            <w:tcW w:w="1124" w:type="dxa"/>
            <w:vMerge w:val="restart"/>
            <w:vAlign w:val="center"/>
            <w:hideMark/>
          </w:tcPr>
          <w:p w14:paraId="2F05830E" w14:textId="6B11EED1" w:rsidR="004E7679" w:rsidRPr="004E7679" w:rsidRDefault="00DD3CBC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vMerge w:val="restart"/>
            <w:vAlign w:val="center"/>
            <w:hideMark/>
          </w:tcPr>
          <w:p w14:paraId="01817972" w14:textId="7723FCC2" w:rsidR="004E7679" w:rsidRPr="004E7679" w:rsidRDefault="00CB5D4B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245" w:type="dxa"/>
            <w:vMerge w:val="restart"/>
            <w:vAlign w:val="center"/>
            <w:hideMark/>
          </w:tcPr>
          <w:p w14:paraId="5F1CB738" w14:textId="18F19298" w:rsidR="004E7679" w:rsidRPr="004E7679" w:rsidRDefault="00CB5D4B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64" w:type="dxa"/>
            <w:vMerge w:val="restart"/>
            <w:vAlign w:val="center"/>
            <w:hideMark/>
          </w:tcPr>
          <w:p w14:paraId="6BADD102" w14:textId="349BC36D" w:rsidR="004E7679" w:rsidRPr="004E7679" w:rsidRDefault="007D7814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4E7679" w:rsidRPr="004E7679" w14:paraId="2368832B" w14:textId="77777777" w:rsidTr="009C7185">
        <w:trPr>
          <w:trHeight w:val="408"/>
        </w:trPr>
        <w:tc>
          <w:tcPr>
            <w:tcW w:w="856" w:type="dxa"/>
            <w:vMerge/>
            <w:hideMark/>
          </w:tcPr>
          <w:p w14:paraId="3532FB4C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7FDF5B23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/>
            <w:hideMark/>
          </w:tcPr>
          <w:p w14:paraId="36B84753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  <w:vAlign w:val="center"/>
            <w:hideMark/>
          </w:tcPr>
          <w:p w14:paraId="56950D7F" w14:textId="77777777" w:rsidR="004E7679" w:rsidRPr="004E7679" w:rsidRDefault="004E7679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  <w:vAlign w:val="center"/>
            <w:hideMark/>
          </w:tcPr>
          <w:p w14:paraId="2F33B2E1" w14:textId="77777777" w:rsidR="004E7679" w:rsidRPr="004E7679" w:rsidRDefault="004E7679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45" w:type="dxa"/>
            <w:vMerge/>
            <w:vAlign w:val="center"/>
            <w:hideMark/>
          </w:tcPr>
          <w:p w14:paraId="6D62313C" w14:textId="77777777" w:rsidR="004E7679" w:rsidRPr="004E7679" w:rsidRDefault="004E7679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64" w:type="dxa"/>
            <w:vMerge/>
            <w:vAlign w:val="center"/>
            <w:hideMark/>
          </w:tcPr>
          <w:p w14:paraId="6B07C048" w14:textId="77777777" w:rsidR="004E7679" w:rsidRPr="004E7679" w:rsidRDefault="004E7679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4E7679" w:rsidRPr="004E7679" w14:paraId="53F7D16E" w14:textId="77777777" w:rsidTr="009C7185">
        <w:trPr>
          <w:trHeight w:val="306"/>
        </w:trPr>
        <w:tc>
          <w:tcPr>
            <w:tcW w:w="856" w:type="dxa"/>
            <w:vMerge w:val="restart"/>
            <w:noWrap/>
            <w:textDirection w:val="btLr"/>
            <w:hideMark/>
          </w:tcPr>
          <w:p w14:paraId="7B7CC995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Kombinované</w:t>
            </w:r>
          </w:p>
        </w:tc>
        <w:tc>
          <w:tcPr>
            <w:tcW w:w="3227" w:type="dxa"/>
            <w:gridSpan w:val="2"/>
            <w:hideMark/>
          </w:tcPr>
          <w:p w14:paraId="7D4E4579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Obhajované práce </w:t>
            </w:r>
          </w:p>
        </w:tc>
        <w:tc>
          <w:tcPr>
            <w:tcW w:w="1124" w:type="dxa"/>
            <w:vAlign w:val="center"/>
            <w:hideMark/>
          </w:tcPr>
          <w:p w14:paraId="3ECC25F9" w14:textId="1047C8C8" w:rsidR="004E7679" w:rsidRPr="004E7679" w:rsidRDefault="00DD3CBC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51</w:t>
            </w:r>
          </w:p>
        </w:tc>
        <w:tc>
          <w:tcPr>
            <w:tcW w:w="1124" w:type="dxa"/>
            <w:vAlign w:val="center"/>
            <w:hideMark/>
          </w:tcPr>
          <w:p w14:paraId="38D99467" w14:textId="3AA49490" w:rsidR="004E7679" w:rsidRPr="004E7679" w:rsidRDefault="00CB5D4B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75</w:t>
            </w:r>
          </w:p>
        </w:tc>
        <w:tc>
          <w:tcPr>
            <w:tcW w:w="1245" w:type="dxa"/>
            <w:vAlign w:val="center"/>
            <w:hideMark/>
          </w:tcPr>
          <w:p w14:paraId="0E1F102F" w14:textId="06918E4A" w:rsidR="004E7679" w:rsidRPr="004E7679" w:rsidRDefault="00CB5D4B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1464" w:type="dxa"/>
            <w:vAlign w:val="center"/>
            <w:hideMark/>
          </w:tcPr>
          <w:p w14:paraId="58BC899A" w14:textId="73686FB7" w:rsidR="004E7679" w:rsidRPr="004E7679" w:rsidRDefault="007D7814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58</w:t>
            </w:r>
          </w:p>
        </w:tc>
      </w:tr>
      <w:tr w:rsidR="00F75C3F" w:rsidRPr="004E7679" w14:paraId="2A6A6872" w14:textId="77777777" w:rsidTr="009C7185">
        <w:trPr>
          <w:trHeight w:val="568"/>
        </w:trPr>
        <w:tc>
          <w:tcPr>
            <w:tcW w:w="856" w:type="dxa"/>
            <w:vMerge/>
            <w:hideMark/>
          </w:tcPr>
          <w:p w14:paraId="652A45CC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 w:val="restart"/>
            <w:noWrap/>
            <w:textDirection w:val="btLr"/>
            <w:hideMark/>
          </w:tcPr>
          <w:p w14:paraId="21C47EF9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 toho</w:t>
            </w:r>
          </w:p>
        </w:tc>
        <w:tc>
          <w:tcPr>
            <w:tcW w:w="2528" w:type="dxa"/>
            <w:hideMark/>
          </w:tcPr>
          <w:p w14:paraId="0A47E476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Úspěšně obhájené práce</w:t>
            </w:r>
            <w:r w:rsidRPr="004E7679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124" w:type="dxa"/>
            <w:vAlign w:val="center"/>
            <w:hideMark/>
          </w:tcPr>
          <w:p w14:paraId="031439B8" w14:textId="124DBF12" w:rsidR="004E7679" w:rsidRPr="004E7679" w:rsidRDefault="00DD3CBC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49</w:t>
            </w:r>
          </w:p>
        </w:tc>
        <w:tc>
          <w:tcPr>
            <w:tcW w:w="1124" w:type="dxa"/>
            <w:vAlign w:val="center"/>
            <w:hideMark/>
          </w:tcPr>
          <w:p w14:paraId="39F6F9D2" w14:textId="343D6586" w:rsidR="004E7679" w:rsidRPr="004E7679" w:rsidRDefault="00CB5D4B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73</w:t>
            </w:r>
          </w:p>
        </w:tc>
        <w:tc>
          <w:tcPr>
            <w:tcW w:w="1245" w:type="dxa"/>
            <w:vAlign w:val="center"/>
            <w:hideMark/>
          </w:tcPr>
          <w:p w14:paraId="52DACD0D" w14:textId="190C61C9" w:rsidR="004E7679" w:rsidRPr="004E7679" w:rsidRDefault="00CB5D4B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39</w:t>
            </w:r>
          </w:p>
        </w:tc>
        <w:tc>
          <w:tcPr>
            <w:tcW w:w="1464" w:type="dxa"/>
            <w:vAlign w:val="center"/>
            <w:hideMark/>
          </w:tcPr>
          <w:p w14:paraId="2EF93B73" w14:textId="0892B978" w:rsidR="004E7679" w:rsidRPr="004E7679" w:rsidRDefault="007D7814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48</w:t>
            </w:r>
          </w:p>
        </w:tc>
      </w:tr>
      <w:tr w:rsidR="004E7679" w:rsidRPr="004E7679" w14:paraId="6F69F7CE" w14:textId="77777777" w:rsidTr="009C7185">
        <w:trPr>
          <w:trHeight w:val="621"/>
        </w:trPr>
        <w:tc>
          <w:tcPr>
            <w:tcW w:w="856" w:type="dxa"/>
            <w:vMerge/>
            <w:hideMark/>
          </w:tcPr>
          <w:p w14:paraId="4F35A3B2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57D5CC0A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hideMark/>
          </w:tcPr>
          <w:p w14:paraId="40017672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osobou bez vzdělání, které by bylo alespoň o jeden stupeň vyšší než stupeň studia</w:t>
            </w:r>
          </w:p>
        </w:tc>
        <w:tc>
          <w:tcPr>
            <w:tcW w:w="1124" w:type="dxa"/>
            <w:vAlign w:val="center"/>
            <w:hideMark/>
          </w:tcPr>
          <w:p w14:paraId="1329D2F3" w14:textId="2CEE6BD0" w:rsidR="004E7679" w:rsidRPr="004E7679" w:rsidRDefault="00DD3CBC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vAlign w:val="center"/>
            <w:hideMark/>
          </w:tcPr>
          <w:p w14:paraId="468E7E75" w14:textId="56E43C57" w:rsidR="004E7679" w:rsidRPr="004E7679" w:rsidRDefault="00CB5D4B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245" w:type="dxa"/>
            <w:vAlign w:val="center"/>
            <w:hideMark/>
          </w:tcPr>
          <w:p w14:paraId="63962199" w14:textId="0B1018A4" w:rsidR="004E7679" w:rsidRPr="004E7679" w:rsidRDefault="00CB5D4B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64" w:type="dxa"/>
            <w:vAlign w:val="center"/>
            <w:hideMark/>
          </w:tcPr>
          <w:p w14:paraId="1193D548" w14:textId="7FE1D8FA" w:rsidR="004E7679" w:rsidRPr="004E7679" w:rsidRDefault="007D7814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4E7679" w:rsidRPr="004E7679" w14:paraId="5523436C" w14:textId="77777777" w:rsidTr="009C7185">
        <w:trPr>
          <w:trHeight w:val="452"/>
        </w:trPr>
        <w:tc>
          <w:tcPr>
            <w:tcW w:w="856" w:type="dxa"/>
            <w:vMerge/>
            <w:hideMark/>
          </w:tcPr>
          <w:p w14:paraId="4F549312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7A9AEF7B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 w:val="restart"/>
            <w:hideMark/>
          </w:tcPr>
          <w:p w14:paraId="24E228A3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externisty</w:t>
            </w:r>
          </w:p>
        </w:tc>
        <w:tc>
          <w:tcPr>
            <w:tcW w:w="1124" w:type="dxa"/>
            <w:vMerge w:val="restart"/>
            <w:vAlign w:val="center"/>
            <w:hideMark/>
          </w:tcPr>
          <w:p w14:paraId="133DBEDF" w14:textId="58BB3163" w:rsidR="004E7679" w:rsidRPr="004E7679" w:rsidRDefault="00DD3CBC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vMerge w:val="restart"/>
            <w:vAlign w:val="center"/>
            <w:hideMark/>
          </w:tcPr>
          <w:p w14:paraId="42D039B1" w14:textId="0851DB04" w:rsidR="004E7679" w:rsidRPr="004E7679" w:rsidRDefault="00CB5D4B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245" w:type="dxa"/>
            <w:vMerge w:val="restart"/>
            <w:vAlign w:val="center"/>
            <w:hideMark/>
          </w:tcPr>
          <w:p w14:paraId="49421C7C" w14:textId="038DFD09" w:rsidR="004E7679" w:rsidRPr="004E7679" w:rsidRDefault="00CB5D4B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64" w:type="dxa"/>
            <w:vMerge w:val="restart"/>
            <w:vAlign w:val="center"/>
            <w:hideMark/>
          </w:tcPr>
          <w:p w14:paraId="084B8B14" w14:textId="459EBE8C" w:rsidR="004E7679" w:rsidRPr="004E7679" w:rsidRDefault="007D7814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4E7679" w:rsidRPr="004E7679" w14:paraId="71238567" w14:textId="77777777" w:rsidTr="009C7185">
        <w:trPr>
          <w:trHeight w:val="408"/>
        </w:trPr>
        <w:tc>
          <w:tcPr>
            <w:tcW w:w="856" w:type="dxa"/>
            <w:vMerge/>
            <w:hideMark/>
          </w:tcPr>
          <w:p w14:paraId="44DE792D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25DB7F40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/>
            <w:hideMark/>
          </w:tcPr>
          <w:p w14:paraId="70AD9429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  <w:vAlign w:val="center"/>
            <w:hideMark/>
          </w:tcPr>
          <w:p w14:paraId="4E19E7E6" w14:textId="77777777" w:rsidR="004E7679" w:rsidRPr="004E7679" w:rsidRDefault="004E7679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  <w:vAlign w:val="center"/>
            <w:hideMark/>
          </w:tcPr>
          <w:p w14:paraId="52E237E6" w14:textId="77777777" w:rsidR="004E7679" w:rsidRPr="004E7679" w:rsidRDefault="004E7679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45" w:type="dxa"/>
            <w:vMerge/>
            <w:vAlign w:val="center"/>
            <w:hideMark/>
          </w:tcPr>
          <w:p w14:paraId="4B87481F" w14:textId="77777777" w:rsidR="004E7679" w:rsidRPr="004E7679" w:rsidRDefault="004E7679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64" w:type="dxa"/>
            <w:vMerge/>
            <w:vAlign w:val="center"/>
            <w:hideMark/>
          </w:tcPr>
          <w:p w14:paraId="1FE6B7BD" w14:textId="77777777" w:rsidR="004E7679" w:rsidRPr="004E7679" w:rsidRDefault="004E7679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4E7679" w:rsidRPr="004E7679" w14:paraId="4C047D5F" w14:textId="77777777" w:rsidTr="009C7185">
        <w:trPr>
          <w:trHeight w:val="306"/>
        </w:trPr>
        <w:tc>
          <w:tcPr>
            <w:tcW w:w="856" w:type="dxa"/>
            <w:vMerge w:val="restart"/>
            <w:noWrap/>
            <w:textDirection w:val="btLr"/>
            <w:hideMark/>
          </w:tcPr>
          <w:p w14:paraId="7AC1C603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3227" w:type="dxa"/>
            <w:gridSpan w:val="2"/>
            <w:hideMark/>
          </w:tcPr>
          <w:p w14:paraId="76D65C32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Obhajované práce </w:t>
            </w:r>
          </w:p>
        </w:tc>
        <w:tc>
          <w:tcPr>
            <w:tcW w:w="1124" w:type="dxa"/>
            <w:vAlign w:val="center"/>
            <w:hideMark/>
          </w:tcPr>
          <w:p w14:paraId="189BD4CA" w14:textId="3716F297" w:rsidR="004E7679" w:rsidRPr="004E7679" w:rsidRDefault="00DD3CBC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100</w:t>
            </w:r>
          </w:p>
        </w:tc>
        <w:tc>
          <w:tcPr>
            <w:tcW w:w="1124" w:type="dxa"/>
            <w:vAlign w:val="center"/>
            <w:hideMark/>
          </w:tcPr>
          <w:p w14:paraId="2D3F0F24" w14:textId="0CEBC241" w:rsidR="004E7679" w:rsidRPr="004E7679" w:rsidRDefault="00CB5D4B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111</w:t>
            </w:r>
          </w:p>
        </w:tc>
        <w:tc>
          <w:tcPr>
            <w:tcW w:w="1245" w:type="dxa"/>
            <w:vAlign w:val="center"/>
            <w:hideMark/>
          </w:tcPr>
          <w:p w14:paraId="6734B609" w14:textId="7930F13F" w:rsidR="004E7679" w:rsidRPr="004E7679" w:rsidRDefault="00CB5D4B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79</w:t>
            </w:r>
          </w:p>
        </w:tc>
        <w:tc>
          <w:tcPr>
            <w:tcW w:w="1464" w:type="dxa"/>
            <w:vAlign w:val="center"/>
            <w:hideMark/>
          </w:tcPr>
          <w:p w14:paraId="6C386EED" w14:textId="464AB157" w:rsidR="004E7679" w:rsidRPr="004E7679" w:rsidRDefault="007D7814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106</w:t>
            </w:r>
          </w:p>
        </w:tc>
      </w:tr>
      <w:tr w:rsidR="00F75C3F" w:rsidRPr="004E7679" w14:paraId="42B27490" w14:textId="77777777" w:rsidTr="009C7185">
        <w:trPr>
          <w:trHeight w:val="452"/>
        </w:trPr>
        <w:tc>
          <w:tcPr>
            <w:tcW w:w="856" w:type="dxa"/>
            <w:vMerge/>
            <w:hideMark/>
          </w:tcPr>
          <w:p w14:paraId="634A8857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 w:val="restart"/>
            <w:noWrap/>
            <w:textDirection w:val="btLr"/>
            <w:hideMark/>
          </w:tcPr>
          <w:p w14:paraId="3D5D61D9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 toho</w:t>
            </w:r>
          </w:p>
        </w:tc>
        <w:tc>
          <w:tcPr>
            <w:tcW w:w="2528" w:type="dxa"/>
            <w:hideMark/>
          </w:tcPr>
          <w:p w14:paraId="427F9F6B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Úspěšně obhájené práce</w:t>
            </w:r>
            <w:r w:rsidRPr="004E7679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124" w:type="dxa"/>
            <w:vAlign w:val="center"/>
            <w:hideMark/>
          </w:tcPr>
          <w:p w14:paraId="3513A0B1" w14:textId="15682246" w:rsidR="004E7679" w:rsidRPr="004E7679" w:rsidRDefault="00DD3CBC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97</w:t>
            </w:r>
          </w:p>
        </w:tc>
        <w:tc>
          <w:tcPr>
            <w:tcW w:w="1124" w:type="dxa"/>
            <w:vAlign w:val="center"/>
            <w:hideMark/>
          </w:tcPr>
          <w:p w14:paraId="4D087174" w14:textId="4B87F9A0" w:rsidR="004E7679" w:rsidRPr="004E7679" w:rsidRDefault="00CB5D4B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109</w:t>
            </w:r>
          </w:p>
        </w:tc>
        <w:tc>
          <w:tcPr>
            <w:tcW w:w="1245" w:type="dxa"/>
            <w:vAlign w:val="center"/>
            <w:hideMark/>
          </w:tcPr>
          <w:p w14:paraId="57F55019" w14:textId="65A3F9D1" w:rsidR="004E7679" w:rsidRPr="004E7679" w:rsidRDefault="00CB5D4B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73</w:t>
            </w:r>
          </w:p>
        </w:tc>
        <w:tc>
          <w:tcPr>
            <w:tcW w:w="1464" w:type="dxa"/>
            <w:vAlign w:val="center"/>
            <w:hideMark/>
          </w:tcPr>
          <w:p w14:paraId="790EAA91" w14:textId="3A8221AF" w:rsidR="004E7679" w:rsidRPr="004E7679" w:rsidRDefault="007D7814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95</w:t>
            </w:r>
          </w:p>
        </w:tc>
      </w:tr>
      <w:tr w:rsidR="004E7679" w:rsidRPr="004E7679" w14:paraId="129A825F" w14:textId="77777777" w:rsidTr="009C7185">
        <w:trPr>
          <w:trHeight w:val="910"/>
        </w:trPr>
        <w:tc>
          <w:tcPr>
            <w:tcW w:w="856" w:type="dxa"/>
            <w:vMerge/>
            <w:hideMark/>
          </w:tcPr>
          <w:p w14:paraId="532E83C4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3A81CCAC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hideMark/>
          </w:tcPr>
          <w:p w14:paraId="2095AD7D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osobou bez vzdělání, které by bylo alespoň o jeden stupeň vyšší než stupeň studia</w:t>
            </w:r>
          </w:p>
        </w:tc>
        <w:tc>
          <w:tcPr>
            <w:tcW w:w="1124" w:type="dxa"/>
            <w:vAlign w:val="center"/>
            <w:hideMark/>
          </w:tcPr>
          <w:p w14:paraId="292D676F" w14:textId="56F786DC" w:rsidR="004E7679" w:rsidRPr="004E7679" w:rsidRDefault="00DD3CBC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vAlign w:val="center"/>
            <w:hideMark/>
          </w:tcPr>
          <w:p w14:paraId="4DE5CAB1" w14:textId="3A8049F0" w:rsidR="004E7679" w:rsidRPr="004E7679" w:rsidRDefault="00CB5D4B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245" w:type="dxa"/>
            <w:vAlign w:val="center"/>
            <w:hideMark/>
          </w:tcPr>
          <w:p w14:paraId="039DB914" w14:textId="5EB3B18C" w:rsidR="004E7679" w:rsidRPr="004E7679" w:rsidRDefault="00CB5D4B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64" w:type="dxa"/>
            <w:vAlign w:val="center"/>
            <w:hideMark/>
          </w:tcPr>
          <w:p w14:paraId="54D1E066" w14:textId="2D531091" w:rsidR="004E7679" w:rsidRPr="004E7679" w:rsidRDefault="007D7814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4E7679" w:rsidRPr="004E7679" w14:paraId="11BB05DD" w14:textId="77777777" w:rsidTr="009C7185">
        <w:trPr>
          <w:trHeight w:val="452"/>
        </w:trPr>
        <w:tc>
          <w:tcPr>
            <w:tcW w:w="856" w:type="dxa"/>
            <w:vMerge/>
            <w:hideMark/>
          </w:tcPr>
          <w:p w14:paraId="4C883DC5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21B67E71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 w:val="restart"/>
            <w:hideMark/>
          </w:tcPr>
          <w:p w14:paraId="711D80A7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externisty</w:t>
            </w:r>
          </w:p>
        </w:tc>
        <w:tc>
          <w:tcPr>
            <w:tcW w:w="1124" w:type="dxa"/>
            <w:vMerge w:val="restart"/>
            <w:vAlign w:val="center"/>
            <w:hideMark/>
          </w:tcPr>
          <w:p w14:paraId="13DD6B13" w14:textId="70FD7EEF" w:rsidR="004E7679" w:rsidRPr="004E7679" w:rsidRDefault="00DD3CBC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vMerge w:val="restart"/>
            <w:vAlign w:val="center"/>
            <w:hideMark/>
          </w:tcPr>
          <w:p w14:paraId="30617AAA" w14:textId="66A15BB8" w:rsidR="004E7679" w:rsidRPr="004E7679" w:rsidRDefault="00CB5D4B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245" w:type="dxa"/>
            <w:vMerge w:val="restart"/>
            <w:vAlign w:val="center"/>
            <w:hideMark/>
          </w:tcPr>
          <w:p w14:paraId="26AB9F88" w14:textId="2EAF33E8" w:rsidR="004E7679" w:rsidRPr="004E7679" w:rsidRDefault="00CB5D4B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64" w:type="dxa"/>
            <w:vMerge w:val="restart"/>
            <w:vAlign w:val="center"/>
            <w:hideMark/>
          </w:tcPr>
          <w:p w14:paraId="2113DABB" w14:textId="66AF43EB" w:rsidR="004E7679" w:rsidRPr="004E7679" w:rsidRDefault="007D7814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4E7679" w:rsidRPr="004E7679" w14:paraId="6A6F3744" w14:textId="77777777" w:rsidTr="009C7185">
        <w:trPr>
          <w:trHeight w:val="408"/>
        </w:trPr>
        <w:tc>
          <w:tcPr>
            <w:tcW w:w="856" w:type="dxa"/>
            <w:vMerge/>
            <w:hideMark/>
          </w:tcPr>
          <w:p w14:paraId="4EDC9F2A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00D2EAB9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/>
            <w:hideMark/>
          </w:tcPr>
          <w:p w14:paraId="3683743A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  <w:vAlign w:val="center"/>
            <w:hideMark/>
          </w:tcPr>
          <w:p w14:paraId="6C0EB7AD" w14:textId="77777777" w:rsidR="004E7679" w:rsidRPr="004E7679" w:rsidRDefault="004E7679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  <w:vAlign w:val="center"/>
            <w:hideMark/>
          </w:tcPr>
          <w:p w14:paraId="0BA94EA7" w14:textId="77777777" w:rsidR="004E7679" w:rsidRPr="004E7679" w:rsidRDefault="004E7679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45" w:type="dxa"/>
            <w:vMerge/>
            <w:vAlign w:val="center"/>
            <w:hideMark/>
          </w:tcPr>
          <w:p w14:paraId="793B183C" w14:textId="77777777" w:rsidR="004E7679" w:rsidRPr="004E7679" w:rsidRDefault="004E7679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64" w:type="dxa"/>
            <w:vMerge/>
            <w:vAlign w:val="center"/>
            <w:hideMark/>
          </w:tcPr>
          <w:p w14:paraId="6B1D9F25" w14:textId="77777777" w:rsidR="004E7679" w:rsidRPr="004E7679" w:rsidRDefault="004E7679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4E7679" w:rsidRPr="004E7679" w14:paraId="1F6CD914" w14:textId="77777777" w:rsidTr="009C7185">
        <w:trPr>
          <w:trHeight w:val="875"/>
        </w:trPr>
        <w:tc>
          <w:tcPr>
            <w:tcW w:w="4083" w:type="dxa"/>
            <w:gridSpan w:val="3"/>
            <w:hideMark/>
          </w:tcPr>
          <w:p w14:paraId="47A80A0A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Průměrný počet obhajovaných prací připadajících na jednoho vedoucího</w:t>
            </w:r>
          </w:p>
        </w:tc>
        <w:tc>
          <w:tcPr>
            <w:tcW w:w="1124" w:type="dxa"/>
            <w:vAlign w:val="center"/>
            <w:hideMark/>
          </w:tcPr>
          <w:p w14:paraId="1495EF69" w14:textId="47FB8EEF" w:rsidR="004E7679" w:rsidRPr="004E7679" w:rsidRDefault="00DD3CBC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124" w:type="dxa"/>
            <w:vAlign w:val="center"/>
            <w:hideMark/>
          </w:tcPr>
          <w:p w14:paraId="570E5773" w14:textId="57489263" w:rsidR="004E7679" w:rsidRPr="004E7679" w:rsidRDefault="00CB5D4B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245" w:type="dxa"/>
            <w:vAlign w:val="center"/>
            <w:hideMark/>
          </w:tcPr>
          <w:p w14:paraId="5C3DBB7B" w14:textId="12672247" w:rsidR="004E7679" w:rsidRPr="004E7679" w:rsidRDefault="00CB5D4B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464" w:type="dxa"/>
            <w:vAlign w:val="center"/>
            <w:hideMark/>
          </w:tcPr>
          <w:p w14:paraId="474E3C51" w14:textId="6CCD85E1" w:rsidR="004E7679" w:rsidRPr="004E7679" w:rsidRDefault="007D7814" w:rsidP="009C718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</w:t>
            </w:r>
          </w:p>
        </w:tc>
      </w:tr>
    </w:tbl>
    <w:p w14:paraId="6033CA15" w14:textId="77777777" w:rsidR="00691411" w:rsidRDefault="00691411" w:rsidP="00B769CE">
      <w:pPr>
        <w:ind w:right="454"/>
        <w:rPr>
          <w:rFonts w:cs="Arial"/>
          <w:color w:val="7030A0"/>
          <w:sz w:val="32"/>
          <w:szCs w:val="32"/>
        </w:rPr>
      </w:pPr>
    </w:p>
    <w:p w14:paraId="4D1DAD0A" w14:textId="36F79E47" w:rsidR="00691411" w:rsidRDefault="00691411">
      <w:pPr>
        <w:spacing w:after="160" w:line="259" w:lineRule="auto"/>
        <w:rPr>
          <w:rFonts w:ascii="Arial Narrow" w:hAnsi="Arial Narrow" w:cs="Arial"/>
          <w:color w:val="7030A0"/>
          <w:sz w:val="32"/>
          <w:szCs w:val="32"/>
        </w:rPr>
      </w:pPr>
      <w:r>
        <w:rPr>
          <w:rFonts w:ascii="Arial Narrow" w:hAnsi="Arial Narrow" w:cs="Arial"/>
          <w:color w:val="7030A0"/>
          <w:sz w:val="32"/>
          <w:szCs w:val="32"/>
        </w:rPr>
        <w:br w:type="page"/>
      </w:r>
    </w:p>
    <w:p w14:paraId="547FD638" w14:textId="63B5E760" w:rsidR="00F75C3F" w:rsidRDefault="00F75C3F" w:rsidP="00F75C3F">
      <w:pPr>
        <w:pStyle w:val="Bezmezer"/>
        <w:ind w:right="283"/>
        <w:rPr>
          <w:rFonts w:cs="Arial"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lastRenderedPageBreak/>
        <w:t>5a) Realizovaná hodnocení bakalářských/diplomových</w:t>
      </w:r>
      <w:r w:rsidR="00180C01">
        <w:rPr>
          <w:rFonts w:cs="Arial"/>
          <w:b/>
          <w:color w:val="C45911" w:themeColor="accent2" w:themeShade="BF"/>
          <w:sz w:val="24"/>
          <w:szCs w:val="24"/>
        </w:rPr>
        <w:t>/disertačních</w:t>
      </w:r>
      <w:r>
        <w:rPr>
          <w:rFonts w:cs="Arial"/>
          <w:b/>
          <w:color w:val="C45911" w:themeColor="accent2" w:themeShade="BF"/>
          <w:sz w:val="24"/>
          <w:szCs w:val="24"/>
        </w:rPr>
        <w:t xml:space="preserve"> prací</w:t>
      </w:r>
      <w:r>
        <w:rPr>
          <w:rFonts w:cs="Arial"/>
          <w:color w:val="C45911" w:themeColor="accent2" w:themeShade="BF"/>
          <w:sz w:val="32"/>
          <w:szCs w:val="32"/>
        </w:rPr>
        <w:t xml:space="preserve"> </w:t>
      </w:r>
    </w:p>
    <w:p w14:paraId="3D8AC199" w14:textId="77777777" w:rsidR="00F75C3F" w:rsidRPr="00F75C3F" w:rsidRDefault="00F75C3F" w:rsidP="00F75C3F">
      <w:pPr>
        <w:pStyle w:val="Bezmezer"/>
        <w:ind w:right="283"/>
        <w:rPr>
          <w:rFonts w:cs="Arial"/>
          <w:color w:val="C45911" w:themeColor="accent2" w:themeShade="BF"/>
          <w:sz w:val="32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096"/>
        <w:gridCol w:w="4944"/>
      </w:tblGrid>
      <w:tr w:rsidR="00AF4443" w:rsidRPr="00E907FB" w14:paraId="12373A36" w14:textId="77777777" w:rsidTr="00160D7F">
        <w:trPr>
          <w:trHeight w:val="376"/>
        </w:trPr>
        <w:tc>
          <w:tcPr>
            <w:tcW w:w="9040" w:type="dxa"/>
            <w:gridSpan w:val="2"/>
            <w:shd w:val="clear" w:color="auto" w:fill="F7CAAC" w:themeFill="accent2" w:themeFillTint="66"/>
          </w:tcPr>
          <w:p w14:paraId="5F30CC47" w14:textId="3F05BCEF" w:rsidR="006B735B" w:rsidRDefault="00AF4443" w:rsidP="006B735B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</w:t>
            </w:r>
            <w:r w:rsidRPr="00E907FB">
              <w:rPr>
                <w:rFonts w:ascii="Arial" w:hAnsi="Arial" w:cs="Arial"/>
                <w:b/>
                <w:sz w:val="20"/>
              </w:rPr>
              <w:t xml:space="preserve">odnocení </w:t>
            </w:r>
            <w:r>
              <w:rPr>
                <w:rFonts w:ascii="Arial" w:hAnsi="Arial" w:cs="Arial"/>
                <w:b/>
                <w:sz w:val="20"/>
              </w:rPr>
              <w:t>bakalářských</w:t>
            </w:r>
            <w:r w:rsidR="00BF704A">
              <w:rPr>
                <w:rFonts w:ascii="Arial" w:hAnsi="Arial" w:cs="Arial"/>
                <w:b/>
                <w:sz w:val="20"/>
              </w:rPr>
              <w:t>/diplomových</w:t>
            </w:r>
            <w:r w:rsidR="00CB7AD1">
              <w:rPr>
                <w:rFonts w:ascii="Arial" w:hAnsi="Arial" w:cs="Arial"/>
                <w:b/>
                <w:sz w:val="20"/>
              </w:rPr>
              <w:t>/disertačních</w:t>
            </w:r>
            <w:r>
              <w:rPr>
                <w:rFonts w:ascii="Arial" w:hAnsi="Arial" w:cs="Arial"/>
                <w:b/>
                <w:sz w:val="20"/>
              </w:rPr>
              <w:t xml:space="preserve"> prací</w:t>
            </w:r>
            <w:r w:rsidR="006B735B"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41CA8AAF" w14:textId="59E91E00" w:rsidR="00AF4443" w:rsidRPr="00E907FB" w:rsidRDefault="006B735B" w:rsidP="006B735B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6B735B">
              <w:rPr>
                <w:rFonts w:ascii="Arial" w:hAnsi="Arial" w:cs="Arial"/>
                <w:i/>
                <w:sz w:val="16"/>
                <w:szCs w:val="16"/>
              </w:rPr>
              <w:t>(vyplnit pouze v případě, pokud se v příslušném období jejich hodnocení uskutečnilo)</w:t>
            </w:r>
          </w:p>
        </w:tc>
      </w:tr>
      <w:tr w:rsidR="00AF4443" w:rsidRPr="0058573E" w14:paraId="305D47B9" w14:textId="77777777" w:rsidTr="00D03D96">
        <w:trPr>
          <w:trHeight w:val="330"/>
        </w:trPr>
        <w:tc>
          <w:tcPr>
            <w:tcW w:w="4096" w:type="dxa"/>
          </w:tcPr>
          <w:p w14:paraId="634D381A" w14:textId="42EA942C" w:rsidR="00AF4443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614826">
              <w:rPr>
                <w:rFonts w:ascii="Arial" w:hAnsi="Arial" w:cs="Arial"/>
                <w:b/>
                <w:sz w:val="20"/>
              </w:rPr>
              <w:t>Rok realizace</w:t>
            </w:r>
            <w:r w:rsidR="00812D6D">
              <w:rPr>
                <w:rFonts w:ascii="Arial" w:hAnsi="Arial" w:cs="Arial"/>
                <w:sz w:val="20"/>
              </w:rPr>
              <w:t xml:space="preserve"> </w:t>
            </w:r>
            <w:r w:rsidRPr="006B4318">
              <w:rPr>
                <w:rFonts w:ascii="Arial" w:hAnsi="Arial" w:cs="Arial"/>
                <w:i/>
                <w:sz w:val="20"/>
              </w:rPr>
              <w:t>(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v </w:t>
            </w:r>
            <w:r>
              <w:rPr>
                <w:rFonts w:ascii="Arial" w:hAnsi="Arial" w:cs="Arial"/>
                <w:i/>
                <w:sz w:val="16"/>
                <w:szCs w:val="16"/>
              </w:rPr>
              <w:t>období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RRRR-3 až RRRR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4944" w:type="dxa"/>
          </w:tcPr>
          <w:p w14:paraId="246E23B9" w14:textId="4A8DE4B8" w:rsidR="00AF4443" w:rsidRPr="0058573E" w:rsidRDefault="00885E22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2020 - 2024</w:t>
            </w:r>
          </w:p>
        </w:tc>
      </w:tr>
      <w:tr w:rsidR="00F26E71" w:rsidRPr="0058573E" w14:paraId="61DF7069" w14:textId="77777777" w:rsidTr="00D03D96">
        <w:trPr>
          <w:trHeight w:val="330"/>
        </w:trPr>
        <w:tc>
          <w:tcPr>
            <w:tcW w:w="9040" w:type="dxa"/>
            <w:gridSpan w:val="2"/>
          </w:tcPr>
          <w:p w14:paraId="7DB2BEDC" w14:textId="77777777" w:rsidR="00B805DB" w:rsidRDefault="003F6125" w:rsidP="00EF3D49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Průběh</w:t>
            </w:r>
            <w:r w:rsidR="00F26E71">
              <w:rPr>
                <w:rFonts w:ascii="Arial" w:hAnsi="Arial" w:cs="Arial"/>
                <w:b/>
                <w:sz w:val="20"/>
              </w:rPr>
              <w:t xml:space="preserve"> </w:t>
            </w:r>
            <w:r w:rsidR="00F26E71" w:rsidRPr="00B04FE2">
              <w:rPr>
                <w:rFonts w:ascii="Arial" w:hAnsi="Arial" w:cs="Arial"/>
                <w:b/>
                <w:sz w:val="20"/>
              </w:rPr>
              <w:t xml:space="preserve">hodnocení </w:t>
            </w:r>
          </w:p>
          <w:p w14:paraId="111B5D85" w14:textId="4D50E88B" w:rsidR="00F26E71" w:rsidRPr="0058573E" w:rsidRDefault="003F6125" w:rsidP="00EF3D49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F3D49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3F6125">
              <w:rPr>
                <w:rFonts w:ascii="Arial" w:hAnsi="Arial" w:cs="Arial"/>
                <w:i/>
                <w:sz w:val="16"/>
                <w:szCs w:val="16"/>
              </w:rPr>
              <w:t xml:space="preserve">popis toho, jak </w:t>
            </w:r>
            <w:r w:rsidR="00B805DB">
              <w:rPr>
                <w:rFonts w:ascii="Arial" w:hAnsi="Arial" w:cs="Arial"/>
                <w:i/>
                <w:sz w:val="16"/>
                <w:szCs w:val="16"/>
              </w:rPr>
              <w:t xml:space="preserve">a kým </w:t>
            </w:r>
            <w:r w:rsidRPr="003F6125">
              <w:rPr>
                <w:rFonts w:ascii="Arial" w:hAnsi="Arial" w:cs="Arial"/>
                <w:i/>
                <w:sz w:val="16"/>
                <w:szCs w:val="16"/>
              </w:rPr>
              <w:t>bylo hodnocení prováděno,</w:t>
            </w:r>
            <w:r w:rsidR="00EF3D49">
              <w:rPr>
                <w:rFonts w:ascii="Arial" w:hAnsi="Arial" w:cs="Arial"/>
                <w:i/>
                <w:sz w:val="16"/>
                <w:szCs w:val="16"/>
              </w:rPr>
              <w:t xml:space="preserve"> na jakém vzorku prací, na co bylo zaměřeno atd.)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F6125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AF4443" w:rsidRPr="0058573E" w14:paraId="24CAF817" w14:textId="77777777" w:rsidTr="00D079C4">
        <w:trPr>
          <w:trHeight w:val="1601"/>
        </w:trPr>
        <w:tc>
          <w:tcPr>
            <w:tcW w:w="9040" w:type="dxa"/>
            <w:gridSpan w:val="2"/>
          </w:tcPr>
          <w:p w14:paraId="36102793" w14:textId="3AB0C98F" w:rsidR="00B805DB" w:rsidRPr="0058573E" w:rsidRDefault="00E02726" w:rsidP="00476EC0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Hodnocení bakalářských prací probíhá každoročně po skončení akademického roku. P</w:t>
            </w:r>
            <w:r w:rsidR="00F012C5">
              <w:rPr>
                <w:rFonts w:ascii="Arial" w:hAnsi="Arial" w:cs="Arial"/>
                <w:sz w:val="20"/>
              </w:rPr>
              <w:t xml:space="preserve">ředseda Rady studijních programů FHS, tj. proděkanka pro </w:t>
            </w:r>
            <w:r w:rsidR="00476EC0">
              <w:rPr>
                <w:rFonts w:ascii="Arial" w:hAnsi="Arial" w:cs="Arial"/>
                <w:sz w:val="20"/>
              </w:rPr>
              <w:t>studium</w:t>
            </w:r>
            <w:r w:rsidR="00F012C5">
              <w:rPr>
                <w:rFonts w:ascii="Arial" w:hAnsi="Arial" w:cs="Arial"/>
                <w:sz w:val="20"/>
              </w:rPr>
              <w:t>, vylosuje pět ba</w:t>
            </w:r>
            <w:r w:rsidR="00D079C4">
              <w:rPr>
                <w:rFonts w:ascii="Arial" w:hAnsi="Arial" w:cs="Arial"/>
                <w:sz w:val="20"/>
              </w:rPr>
              <w:t xml:space="preserve">kalářských prací obhajovaných v </w:t>
            </w:r>
            <w:r w:rsidR="00F012C5">
              <w:rPr>
                <w:rFonts w:ascii="Arial" w:hAnsi="Arial" w:cs="Arial"/>
                <w:sz w:val="20"/>
              </w:rPr>
              <w:t xml:space="preserve">uplynulém akademickém roce. </w:t>
            </w:r>
            <w:proofErr w:type="spellStart"/>
            <w:r w:rsidR="00F012C5">
              <w:rPr>
                <w:rFonts w:ascii="Arial" w:hAnsi="Arial" w:cs="Arial"/>
                <w:sz w:val="20"/>
              </w:rPr>
              <w:t>Garantka</w:t>
            </w:r>
            <w:proofErr w:type="spellEnd"/>
            <w:r w:rsidR="00F012C5">
              <w:rPr>
                <w:rFonts w:ascii="Arial" w:hAnsi="Arial" w:cs="Arial"/>
                <w:sz w:val="20"/>
              </w:rPr>
              <w:t xml:space="preserve"> studijního programu vypracovává hodnocení každé z těchto prací. Kritérii hodnocení jsou: </w:t>
            </w:r>
            <w:r w:rsidR="00F012C5" w:rsidRPr="00F012C5">
              <w:rPr>
                <w:rFonts w:ascii="Arial" w:hAnsi="Arial" w:cs="Arial"/>
                <w:sz w:val="20"/>
              </w:rPr>
              <w:t>téma práce odpovídá profilu absolventa</w:t>
            </w:r>
            <w:r w:rsidR="00F012C5">
              <w:rPr>
                <w:rFonts w:ascii="Arial" w:hAnsi="Arial" w:cs="Arial"/>
                <w:sz w:val="20"/>
              </w:rPr>
              <w:t xml:space="preserve">; </w:t>
            </w:r>
            <w:r w:rsidR="00F012C5" w:rsidRPr="00F012C5">
              <w:rPr>
                <w:rFonts w:ascii="Arial" w:hAnsi="Arial" w:cs="Arial"/>
                <w:sz w:val="20"/>
              </w:rPr>
              <w:t>obsah práce odpovídá schválen</w:t>
            </w:r>
            <w:r w:rsidR="00F012C5">
              <w:rPr>
                <w:rFonts w:ascii="Arial" w:hAnsi="Arial" w:cs="Arial"/>
                <w:sz w:val="20"/>
              </w:rPr>
              <w:t xml:space="preserve">ému zadání práce; </w:t>
            </w:r>
            <w:r w:rsidR="00F012C5" w:rsidRPr="00F012C5">
              <w:rPr>
                <w:rFonts w:ascii="Arial" w:hAnsi="Arial" w:cs="Arial"/>
                <w:sz w:val="20"/>
              </w:rPr>
              <w:t>celkový přínos a kvalita práce odpovídá požadavkům na danou závěrečnou práci</w:t>
            </w:r>
            <w:r w:rsidR="00F012C5">
              <w:rPr>
                <w:rFonts w:ascii="Arial" w:hAnsi="Arial" w:cs="Arial"/>
                <w:sz w:val="20"/>
              </w:rPr>
              <w:t xml:space="preserve">. </w:t>
            </w:r>
            <w:proofErr w:type="spellStart"/>
            <w:r w:rsidR="00F012C5">
              <w:rPr>
                <w:rFonts w:ascii="Arial" w:hAnsi="Arial" w:cs="Arial"/>
                <w:sz w:val="20"/>
              </w:rPr>
              <w:t>Garantka</w:t>
            </w:r>
            <w:proofErr w:type="spellEnd"/>
            <w:r w:rsidR="00F012C5">
              <w:rPr>
                <w:rFonts w:ascii="Arial" w:hAnsi="Arial" w:cs="Arial"/>
                <w:sz w:val="20"/>
              </w:rPr>
              <w:t xml:space="preserve"> hodnotí jednotlivé práce na škále: </w:t>
            </w:r>
            <w:r w:rsidR="00F012C5" w:rsidRPr="00F012C5">
              <w:rPr>
                <w:rFonts w:ascii="Arial" w:hAnsi="Arial" w:cs="Arial"/>
                <w:sz w:val="20"/>
              </w:rPr>
              <w:t>soulad - podstatný soulad - částečný soulad – nesoulad</w:t>
            </w:r>
            <w:r w:rsidR="00F012C5">
              <w:rPr>
                <w:rFonts w:ascii="Arial" w:hAnsi="Arial" w:cs="Arial"/>
                <w:sz w:val="20"/>
              </w:rPr>
              <w:t xml:space="preserve">; hodnotí kvalitu prací také slovně. </w:t>
            </w:r>
          </w:p>
        </w:tc>
      </w:tr>
      <w:tr w:rsidR="00F26E71" w:rsidRPr="0058573E" w14:paraId="0886D8E7" w14:textId="77777777" w:rsidTr="00D03D96">
        <w:trPr>
          <w:trHeight w:val="262"/>
        </w:trPr>
        <w:tc>
          <w:tcPr>
            <w:tcW w:w="9040" w:type="dxa"/>
            <w:gridSpan w:val="2"/>
          </w:tcPr>
          <w:p w14:paraId="026A143C" w14:textId="77777777" w:rsidR="00F26E71" w:rsidRPr="0043058D" w:rsidRDefault="00F26E71" w:rsidP="00F26E7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Dostupnost výsledků hodnocení pro studenty a akademické pracovníky </w:t>
            </w:r>
          </w:p>
          <w:p w14:paraId="662DDD12" w14:textId="3A970469" w:rsidR="00F26E71" w:rsidRPr="0043058D" w:rsidRDefault="00F26E71" w:rsidP="00F26E7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D597A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způsob</w:t>
            </w:r>
            <w:r>
              <w:rPr>
                <w:rFonts w:ascii="Arial" w:hAnsi="Arial" w:cs="Arial"/>
                <w:i/>
                <w:sz w:val="16"/>
                <w:szCs w:val="16"/>
              </w:rPr>
              <w:t>u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 xml:space="preserve"> sdílení a prezentace výsledků</w:t>
            </w:r>
            <w:r>
              <w:rPr>
                <w:rFonts w:ascii="Arial" w:hAnsi="Arial" w:cs="Arial"/>
                <w:i/>
                <w:sz w:val="16"/>
                <w:szCs w:val="16"/>
              </w:rPr>
              <w:t>, např. souhrnná zpráva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AF4443" w:rsidRPr="0058573E" w14:paraId="1BB79223" w14:textId="77777777" w:rsidTr="00D03D96">
        <w:trPr>
          <w:trHeight w:val="1865"/>
        </w:trPr>
        <w:tc>
          <w:tcPr>
            <w:tcW w:w="9040" w:type="dxa"/>
            <w:gridSpan w:val="2"/>
          </w:tcPr>
          <w:p w14:paraId="78AEACB8" w14:textId="7EAC948B" w:rsidR="00AF4443" w:rsidRDefault="00E02726" w:rsidP="00C5279F">
            <w:pPr>
              <w:pStyle w:val="Bezmezer"/>
              <w:spacing w:before="40" w:after="40"/>
              <w:ind w:right="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Závěry zprávy o hodnocení kvality bakalářských jsou prezentovány na poradě Ústavu pedagogických věd.</w:t>
            </w:r>
          </w:p>
          <w:p w14:paraId="6024FEA3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6498D5C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EC0A33D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38B2DAF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99C495F" w14:textId="77777777" w:rsidR="00B805DB" w:rsidRPr="0058573E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AF4443" w:rsidRPr="0058573E" w14:paraId="7FA50B90" w14:textId="77777777" w:rsidTr="00D03D96">
        <w:trPr>
          <w:trHeight w:val="50"/>
        </w:trPr>
        <w:tc>
          <w:tcPr>
            <w:tcW w:w="9040" w:type="dxa"/>
            <w:gridSpan w:val="2"/>
          </w:tcPr>
          <w:p w14:paraId="6C6E0D46" w14:textId="77777777" w:rsidR="00AF4443" w:rsidRPr="0043058D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550017FC" w14:textId="77777777" w:rsidR="00AF4443" w:rsidRPr="00EC0854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AF4443" w:rsidRPr="0058573E" w14:paraId="61038DC3" w14:textId="77777777" w:rsidTr="00D03D96">
        <w:trPr>
          <w:trHeight w:val="1906"/>
        </w:trPr>
        <w:tc>
          <w:tcPr>
            <w:tcW w:w="9040" w:type="dxa"/>
            <w:gridSpan w:val="2"/>
          </w:tcPr>
          <w:p w14:paraId="0AD5E1F0" w14:textId="2D1F29DB" w:rsidR="00B805DB" w:rsidRDefault="00BC56A0" w:rsidP="002C1748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Projednání </w:t>
            </w:r>
            <w:r w:rsidR="002C1748">
              <w:rPr>
                <w:rFonts w:ascii="Arial" w:hAnsi="Arial" w:cs="Arial"/>
                <w:sz w:val="20"/>
              </w:rPr>
              <w:t xml:space="preserve">zprávy </w:t>
            </w:r>
            <w:r w:rsidR="00F012C5">
              <w:rPr>
                <w:rFonts w:ascii="Arial" w:hAnsi="Arial" w:cs="Arial"/>
                <w:sz w:val="20"/>
              </w:rPr>
              <w:t>hodnocení kvality závěrečných prací</w:t>
            </w:r>
            <w:r w:rsidR="002C1748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Ra</w:t>
            </w:r>
            <w:r w:rsidR="00F012C5">
              <w:rPr>
                <w:rFonts w:ascii="Arial" w:hAnsi="Arial" w:cs="Arial"/>
                <w:sz w:val="20"/>
              </w:rPr>
              <w:t>dou studijních programů FHS.</w:t>
            </w:r>
            <w:r w:rsidR="002C1748">
              <w:rPr>
                <w:rFonts w:ascii="Arial" w:hAnsi="Arial" w:cs="Arial"/>
                <w:sz w:val="20"/>
              </w:rPr>
              <w:t xml:space="preserve"> </w:t>
            </w:r>
          </w:p>
          <w:p w14:paraId="4A496078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C06C2D7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A6DBDD9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9B99E87" w14:textId="77777777" w:rsidR="00B805DB" w:rsidRPr="0058573E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AF4443" w:rsidRPr="0058573E" w14:paraId="00EA8F02" w14:textId="77777777" w:rsidTr="00D03D96">
        <w:trPr>
          <w:trHeight w:val="50"/>
        </w:trPr>
        <w:tc>
          <w:tcPr>
            <w:tcW w:w="9040" w:type="dxa"/>
            <w:gridSpan w:val="2"/>
          </w:tcPr>
          <w:p w14:paraId="60626142" w14:textId="77777777" w:rsidR="00AF4443" w:rsidRPr="00EE039E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EE039E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3939FEA3" w14:textId="77777777" w:rsidR="00AF4443" w:rsidRPr="00AC4575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účinná)</w:t>
            </w:r>
          </w:p>
        </w:tc>
      </w:tr>
      <w:tr w:rsidR="00AF4443" w:rsidRPr="0058573E" w14:paraId="6EB96406" w14:textId="77777777" w:rsidTr="00D079C4">
        <w:trPr>
          <w:trHeight w:val="1267"/>
        </w:trPr>
        <w:tc>
          <w:tcPr>
            <w:tcW w:w="9040" w:type="dxa"/>
            <w:gridSpan w:val="2"/>
          </w:tcPr>
          <w:p w14:paraId="417CE065" w14:textId="766A97F7" w:rsidR="006B735B" w:rsidRPr="002C1748" w:rsidRDefault="002C1748" w:rsidP="00D079C4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Závěry hodnocení kvality bakalářských prací se promítají do modifikace obsahu předmětů Seminář bakalářských prací a Metodologie</w:t>
            </w:r>
            <w:r w:rsidR="00900855">
              <w:rPr>
                <w:rFonts w:ascii="Arial" w:hAnsi="Arial" w:cs="Arial"/>
                <w:sz w:val="20"/>
              </w:rPr>
              <w:t xml:space="preserve"> I a II</w:t>
            </w:r>
            <w:r>
              <w:rPr>
                <w:rFonts w:ascii="Arial" w:hAnsi="Arial" w:cs="Arial"/>
                <w:sz w:val="20"/>
              </w:rPr>
              <w:t xml:space="preserve"> tak, aby reflektovaly zjištěné nedostatky v bakalářských pracích studentů. Na základě reflexe</w:t>
            </w:r>
            <w:r w:rsidR="00275F2A">
              <w:rPr>
                <w:rFonts w:ascii="Arial" w:hAnsi="Arial" w:cs="Arial"/>
                <w:sz w:val="20"/>
              </w:rPr>
              <w:t xml:space="preserve"> zkušeností vedoucích bakalářských prací</w:t>
            </w:r>
            <w:r>
              <w:rPr>
                <w:rFonts w:ascii="Arial" w:hAnsi="Arial" w:cs="Arial"/>
                <w:sz w:val="20"/>
              </w:rPr>
              <w:t xml:space="preserve">, úrovně obhajob </w:t>
            </w:r>
            <w:r w:rsidR="00900855"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t>u SZZ</w:t>
            </w:r>
            <w:r w:rsidR="00F012C5">
              <w:rPr>
                <w:rFonts w:ascii="Arial" w:hAnsi="Arial" w:cs="Arial"/>
                <w:sz w:val="20"/>
              </w:rPr>
              <w:t xml:space="preserve"> a hodnocení kvality prací byly</w:t>
            </w:r>
            <w:r>
              <w:rPr>
                <w:rFonts w:ascii="Arial" w:hAnsi="Arial" w:cs="Arial"/>
                <w:sz w:val="20"/>
              </w:rPr>
              <w:t xml:space="preserve"> vypracován</w:t>
            </w:r>
            <w:r w:rsidR="00F012C5">
              <w:rPr>
                <w:rFonts w:ascii="Arial" w:hAnsi="Arial" w:cs="Arial"/>
                <w:sz w:val="20"/>
              </w:rPr>
              <w:t>y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F012C5" w:rsidRPr="00F012C5">
              <w:rPr>
                <w:rFonts w:ascii="Arial" w:hAnsi="Arial" w:cs="Arial"/>
                <w:sz w:val="20"/>
              </w:rPr>
              <w:t xml:space="preserve">Standardy bakalářských a diplomových prací </w:t>
            </w:r>
            <w:r w:rsidR="00900855">
              <w:rPr>
                <w:rFonts w:ascii="Arial" w:hAnsi="Arial" w:cs="Arial"/>
                <w:sz w:val="20"/>
              </w:rPr>
              <w:br/>
            </w:r>
            <w:r w:rsidR="00F012C5">
              <w:rPr>
                <w:rFonts w:ascii="Arial" w:hAnsi="Arial" w:cs="Arial"/>
                <w:sz w:val="20"/>
              </w:rPr>
              <w:t xml:space="preserve">pro </w:t>
            </w:r>
            <w:r w:rsidR="00F012C5" w:rsidRPr="00F012C5">
              <w:rPr>
                <w:rFonts w:ascii="Arial" w:hAnsi="Arial" w:cs="Arial"/>
                <w:sz w:val="20"/>
              </w:rPr>
              <w:t>Ústav pedagogických věd</w:t>
            </w:r>
            <w:r w:rsidR="00275F2A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</w:tr>
    </w:tbl>
    <w:p w14:paraId="310D11BA" w14:textId="77777777" w:rsidR="00444245" w:rsidRDefault="00444245" w:rsidP="00B769CE">
      <w:pPr>
        <w:ind w:right="454"/>
        <w:rPr>
          <w:rFonts w:cs="Arial"/>
          <w:color w:val="7030A0"/>
          <w:sz w:val="32"/>
          <w:szCs w:val="32"/>
        </w:rPr>
        <w:sectPr w:rsidR="00444245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05C1529A" w14:textId="3FCAFEA4" w:rsidR="00B769CE" w:rsidRPr="00D03D96" w:rsidRDefault="00F75C3F" w:rsidP="00B769CE">
      <w:pPr>
        <w:ind w:right="454"/>
        <w:rPr>
          <w:rFonts w:ascii="Arial Narrow" w:hAnsi="Arial Narrow" w:cs="Arial"/>
          <w:b/>
          <w:color w:val="C45911" w:themeColor="accent2" w:themeShade="BF"/>
          <w:sz w:val="32"/>
          <w:szCs w:val="32"/>
        </w:rPr>
      </w:pPr>
      <w:r w:rsidRPr="00D03D96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lastRenderedPageBreak/>
        <w:t xml:space="preserve">Část 6.) </w:t>
      </w:r>
      <w:r w:rsidR="006072F1" w:rsidRPr="00D03D96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 xml:space="preserve">Úspěšnost v přijímacím řízení </w:t>
      </w:r>
    </w:p>
    <w:p w14:paraId="6405DDDA" w14:textId="77777777" w:rsidR="002615D8" w:rsidRPr="00B05502" w:rsidRDefault="002615D8" w:rsidP="0057118F">
      <w:pPr>
        <w:pStyle w:val="Bezmezer"/>
        <w:ind w:right="283"/>
        <w:rPr>
          <w:rFonts w:ascii="Arial" w:hAnsi="Arial" w:cs="Arial"/>
          <w:b/>
          <w:color w:val="7030A0"/>
          <w:sz w:val="32"/>
          <w:szCs w:val="32"/>
        </w:rPr>
      </w:pPr>
    </w:p>
    <w:tbl>
      <w:tblPr>
        <w:tblStyle w:val="Mkatabulky"/>
        <w:tblW w:w="9015" w:type="dxa"/>
        <w:tblLook w:val="04A0" w:firstRow="1" w:lastRow="0" w:firstColumn="1" w:lastColumn="0" w:noHBand="0" w:noVBand="1"/>
      </w:tblPr>
      <w:tblGrid>
        <w:gridCol w:w="1414"/>
        <w:gridCol w:w="1945"/>
        <w:gridCol w:w="1414"/>
        <w:gridCol w:w="1414"/>
        <w:gridCol w:w="1414"/>
        <w:gridCol w:w="1414"/>
      </w:tblGrid>
      <w:tr w:rsidR="00F33B5E" w:rsidRPr="004E7679" w14:paraId="02BA24EE" w14:textId="77777777" w:rsidTr="00160D7F">
        <w:trPr>
          <w:trHeight w:val="915"/>
        </w:trPr>
        <w:tc>
          <w:tcPr>
            <w:tcW w:w="1414" w:type="dxa"/>
            <w:shd w:val="clear" w:color="auto" w:fill="F7CAAC" w:themeFill="accent2" w:themeFillTint="66"/>
            <w:hideMark/>
          </w:tcPr>
          <w:p w14:paraId="30F5D7C4" w14:textId="77777777" w:rsidR="00F33B5E" w:rsidRPr="004E7679" w:rsidRDefault="00F33B5E" w:rsidP="00F33B5E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1945" w:type="dxa"/>
            <w:shd w:val="clear" w:color="auto" w:fill="F7CAAC" w:themeFill="accent2" w:themeFillTint="66"/>
            <w:hideMark/>
          </w:tcPr>
          <w:p w14:paraId="6263352C" w14:textId="2CA2B88E" w:rsidR="00F33B5E" w:rsidRPr="004E7679" w:rsidRDefault="00F33B5E" w:rsidP="00F33B5E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Počet uchazečů </w:t>
            </w:r>
            <w:r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v přijímacím řízení</w:t>
            </w:r>
            <w:r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1)</w:t>
            </w:r>
          </w:p>
        </w:tc>
        <w:tc>
          <w:tcPr>
            <w:tcW w:w="1414" w:type="dxa"/>
            <w:shd w:val="clear" w:color="auto" w:fill="F7CAAC" w:themeFill="accent2" w:themeFillTint="66"/>
            <w:hideMark/>
          </w:tcPr>
          <w:p w14:paraId="12FBBC74" w14:textId="6E499648" w:rsidR="00F33B5E" w:rsidRPr="004E7679" w:rsidRDefault="00F33B5E" w:rsidP="00F33B5E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2020/2021</w:t>
            </w:r>
          </w:p>
        </w:tc>
        <w:tc>
          <w:tcPr>
            <w:tcW w:w="1414" w:type="dxa"/>
            <w:shd w:val="clear" w:color="auto" w:fill="F7CAAC" w:themeFill="accent2" w:themeFillTint="66"/>
            <w:hideMark/>
          </w:tcPr>
          <w:p w14:paraId="5E7979AB" w14:textId="4F5CAD4F" w:rsidR="00F33B5E" w:rsidRPr="004E7679" w:rsidRDefault="00F33B5E" w:rsidP="00F33B5E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2021/2022</w:t>
            </w:r>
          </w:p>
        </w:tc>
        <w:tc>
          <w:tcPr>
            <w:tcW w:w="1414" w:type="dxa"/>
            <w:shd w:val="clear" w:color="auto" w:fill="F7CAAC" w:themeFill="accent2" w:themeFillTint="66"/>
            <w:hideMark/>
          </w:tcPr>
          <w:p w14:paraId="753D728E" w14:textId="6E70C560" w:rsidR="00F33B5E" w:rsidRPr="004E7679" w:rsidRDefault="00F33B5E" w:rsidP="00F33B5E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2022/2023</w:t>
            </w:r>
          </w:p>
        </w:tc>
        <w:tc>
          <w:tcPr>
            <w:tcW w:w="1414" w:type="dxa"/>
            <w:shd w:val="clear" w:color="auto" w:fill="F7CAAC" w:themeFill="accent2" w:themeFillTint="66"/>
            <w:hideMark/>
          </w:tcPr>
          <w:p w14:paraId="51609ED5" w14:textId="7706DC91" w:rsidR="00F33B5E" w:rsidRPr="004E7679" w:rsidRDefault="00F33B5E" w:rsidP="00F33B5E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2023/2024</w:t>
            </w:r>
          </w:p>
        </w:tc>
      </w:tr>
      <w:tr w:rsidR="00F33B5E" w:rsidRPr="004E7679" w14:paraId="48D65D86" w14:textId="77777777" w:rsidTr="00F33B5E">
        <w:trPr>
          <w:trHeight w:val="310"/>
        </w:trPr>
        <w:tc>
          <w:tcPr>
            <w:tcW w:w="1414" w:type="dxa"/>
            <w:vMerge w:val="restart"/>
            <w:textDirection w:val="btLr"/>
            <w:hideMark/>
          </w:tcPr>
          <w:p w14:paraId="3A275FE1" w14:textId="77777777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945" w:type="dxa"/>
            <w:hideMark/>
          </w:tcPr>
          <w:p w14:paraId="13961508" w14:textId="77777777" w:rsidR="00F33B5E" w:rsidRPr="004E7679" w:rsidRDefault="00F33B5E" w:rsidP="00F33B5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Přihlášeno </w:t>
            </w:r>
          </w:p>
        </w:tc>
        <w:tc>
          <w:tcPr>
            <w:tcW w:w="1414" w:type="dxa"/>
            <w:vAlign w:val="center"/>
            <w:hideMark/>
          </w:tcPr>
          <w:p w14:paraId="7FB199A9" w14:textId="435A03F9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275</w:t>
            </w:r>
          </w:p>
        </w:tc>
        <w:tc>
          <w:tcPr>
            <w:tcW w:w="1414" w:type="dxa"/>
            <w:vAlign w:val="center"/>
            <w:hideMark/>
          </w:tcPr>
          <w:p w14:paraId="5B60ECB7" w14:textId="0225EA23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279</w:t>
            </w:r>
          </w:p>
        </w:tc>
        <w:tc>
          <w:tcPr>
            <w:tcW w:w="1414" w:type="dxa"/>
            <w:vAlign w:val="center"/>
            <w:hideMark/>
          </w:tcPr>
          <w:p w14:paraId="3066204B" w14:textId="5F537EBB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308</w:t>
            </w:r>
          </w:p>
        </w:tc>
        <w:tc>
          <w:tcPr>
            <w:tcW w:w="1414" w:type="dxa"/>
            <w:vAlign w:val="center"/>
            <w:hideMark/>
          </w:tcPr>
          <w:p w14:paraId="58F1A1BB" w14:textId="0AA81BF6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308</w:t>
            </w:r>
          </w:p>
        </w:tc>
      </w:tr>
      <w:tr w:rsidR="00F33B5E" w:rsidRPr="004E7679" w14:paraId="01C3A4E2" w14:textId="77777777" w:rsidTr="00F33B5E">
        <w:trPr>
          <w:trHeight w:val="457"/>
        </w:trPr>
        <w:tc>
          <w:tcPr>
            <w:tcW w:w="1414" w:type="dxa"/>
            <w:vMerge/>
            <w:hideMark/>
          </w:tcPr>
          <w:p w14:paraId="62CEA84E" w14:textId="77777777" w:rsidR="00F33B5E" w:rsidRPr="004E7679" w:rsidRDefault="00F33B5E" w:rsidP="00F33B5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2D1BB53E" w14:textId="77777777" w:rsidR="00F33B5E" w:rsidRPr="004E7679" w:rsidRDefault="00F33B5E" w:rsidP="00F33B5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Splnilo podmínky pro přijetí</w:t>
            </w:r>
          </w:p>
        </w:tc>
        <w:tc>
          <w:tcPr>
            <w:tcW w:w="1414" w:type="dxa"/>
            <w:vAlign w:val="center"/>
            <w:hideMark/>
          </w:tcPr>
          <w:p w14:paraId="1B04DD7F" w14:textId="1AE38FD4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186</w:t>
            </w:r>
          </w:p>
        </w:tc>
        <w:tc>
          <w:tcPr>
            <w:tcW w:w="1414" w:type="dxa"/>
            <w:vAlign w:val="center"/>
            <w:hideMark/>
          </w:tcPr>
          <w:p w14:paraId="24B2200A" w14:textId="5EC51840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199</w:t>
            </w:r>
          </w:p>
        </w:tc>
        <w:tc>
          <w:tcPr>
            <w:tcW w:w="1414" w:type="dxa"/>
            <w:vAlign w:val="center"/>
            <w:hideMark/>
          </w:tcPr>
          <w:p w14:paraId="6083DD5F" w14:textId="0D18F1F5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157</w:t>
            </w:r>
          </w:p>
        </w:tc>
        <w:tc>
          <w:tcPr>
            <w:tcW w:w="1414" w:type="dxa"/>
            <w:vAlign w:val="center"/>
            <w:hideMark/>
          </w:tcPr>
          <w:p w14:paraId="3DD07920" w14:textId="5D6DC9B0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144</w:t>
            </w:r>
          </w:p>
        </w:tc>
      </w:tr>
      <w:tr w:rsidR="00F33B5E" w:rsidRPr="004E7679" w14:paraId="5A8BBCC2" w14:textId="77777777" w:rsidTr="00F33B5E">
        <w:trPr>
          <w:trHeight w:val="310"/>
        </w:trPr>
        <w:tc>
          <w:tcPr>
            <w:tcW w:w="1414" w:type="dxa"/>
            <w:vMerge/>
            <w:hideMark/>
          </w:tcPr>
          <w:p w14:paraId="499926ED" w14:textId="77777777" w:rsidR="00F33B5E" w:rsidRPr="004E7679" w:rsidRDefault="00F33B5E" w:rsidP="00F33B5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13772E1D" w14:textId="77777777" w:rsidR="00F33B5E" w:rsidRPr="004E7679" w:rsidRDefault="00F33B5E" w:rsidP="00F33B5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Přijato</w:t>
            </w:r>
          </w:p>
        </w:tc>
        <w:tc>
          <w:tcPr>
            <w:tcW w:w="1414" w:type="dxa"/>
            <w:vAlign w:val="center"/>
            <w:hideMark/>
          </w:tcPr>
          <w:p w14:paraId="5E30DB1C" w14:textId="574F308B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143</w:t>
            </w:r>
          </w:p>
        </w:tc>
        <w:tc>
          <w:tcPr>
            <w:tcW w:w="1414" w:type="dxa"/>
            <w:vAlign w:val="center"/>
            <w:hideMark/>
          </w:tcPr>
          <w:p w14:paraId="1352B371" w14:textId="4BDD42DC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162</w:t>
            </w:r>
          </w:p>
        </w:tc>
        <w:tc>
          <w:tcPr>
            <w:tcW w:w="1414" w:type="dxa"/>
            <w:vAlign w:val="center"/>
            <w:hideMark/>
          </w:tcPr>
          <w:p w14:paraId="66BAA999" w14:textId="705348FE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94</w:t>
            </w:r>
          </w:p>
        </w:tc>
        <w:tc>
          <w:tcPr>
            <w:tcW w:w="1414" w:type="dxa"/>
            <w:vAlign w:val="center"/>
            <w:hideMark/>
          </w:tcPr>
          <w:p w14:paraId="22095196" w14:textId="740DE638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92</w:t>
            </w:r>
          </w:p>
        </w:tc>
      </w:tr>
      <w:tr w:rsidR="00F33B5E" w:rsidRPr="004E7679" w14:paraId="4CD41DE5" w14:textId="77777777" w:rsidTr="00F33B5E">
        <w:trPr>
          <w:trHeight w:val="310"/>
        </w:trPr>
        <w:tc>
          <w:tcPr>
            <w:tcW w:w="1414" w:type="dxa"/>
            <w:vMerge/>
            <w:hideMark/>
          </w:tcPr>
          <w:p w14:paraId="3DD55371" w14:textId="77777777" w:rsidR="00F33B5E" w:rsidRPr="004E7679" w:rsidRDefault="00F33B5E" w:rsidP="00F33B5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3BEEDE48" w14:textId="77777777" w:rsidR="00F33B5E" w:rsidRPr="004E7679" w:rsidRDefault="00F33B5E" w:rsidP="00F33B5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Zapsáno</w:t>
            </w:r>
          </w:p>
        </w:tc>
        <w:tc>
          <w:tcPr>
            <w:tcW w:w="1414" w:type="dxa"/>
            <w:vAlign w:val="center"/>
            <w:hideMark/>
          </w:tcPr>
          <w:p w14:paraId="55D24DE4" w14:textId="5ECE4C4E" w:rsidR="00F33B5E" w:rsidRPr="004E7679" w:rsidRDefault="00F94840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77</w:t>
            </w:r>
          </w:p>
        </w:tc>
        <w:tc>
          <w:tcPr>
            <w:tcW w:w="1414" w:type="dxa"/>
            <w:vAlign w:val="center"/>
            <w:hideMark/>
          </w:tcPr>
          <w:p w14:paraId="00030696" w14:textId="2871DF29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85</w:t>
            </w:r>
          </w:p>
        </w:tc>
        <w:tc>
          <w:tcPr>
            <w:tcW w:w="1414" w:type="dxa"/>
            <w:vAlign w:val="center"/>
            <w:hideMark/>
          </w:tcPr>
          <w:p w14:paraId="0F206B68" w14:textId="72A3EAF2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76</w:t>
            </w:r>
          </w:p>
        </w:tc>
        <w:tc>
          <w:tcPr>
            <w:tcW w:w="1414" w:type="dxa"/>
            <w:vAlign w:val="center"/>
            <w:hideMark/>
          </w:tcPr>
          <w:p w14:paraId="69C53020" w14:textId="679AE932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68</w:t>
            </w:r>
          </w:p>
        </w:tc>
      </w:tr>
      <w:tr w:rsidR="00F33B5E" w:rsidRPr="004E7679" w14:paraId="54B41302" w14:textId="77777777" w:rsidTr="00F33B5E">
        <w:trPr>
          <w:trHeight w:val="310"/>
        </w:trPr>
        <w:tc>
          <w:tcPr>
            <w:tcW w:w="1414" w:type="dxa"/>
            <w:vMerge w:val="restart"/>
            <w:textDirection w:val="btLr"/>
            <w:hideMark/>
          </w:tcPr>
          <w:p w14:paraId="008BA952" w14:textId="77777777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945" w:type="dxa"/>
            <w:hideMark/>
          </w:tcPr>
          <w:p w14:paraId="08EB5B13" w14:textId="77777777" w:rsidR="00F33B5E" w:rsidRPr="004E7679" w:rsidRDefault="00F33B5E" w:rsidP="00F33B5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Přihlášeno </w:t>
            </w:r>
          </w:p>
        </w:tc>
        <w:tc>
          <w:tcPr>
            <w:tcW w:w="1414" w:type="dxa"/>
            <w:vAlign w:val="center"/>
            <w:hideMark/>
          </w:tcPr>
          <w:p w14:paraId="4811A8CB" w14:textId="04747D8C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180</w:t>
            </w:r>
          </w:p>
        </w:tc>
        <w:tc>
          <w:tcPr>
            <w:tcW w:w="1414" w:type="dxa"/>
            <w:vAlign w:val="center"/>
            <w:hideMark/>
          </w:tcPr>
          <w:p w14:paraId="68853E43" w14:textId="396A6A18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213</w:t>
            </w:r>
          </w:p>
        </w:tc>
        <w:tc>
          <w:tcPr>
            <w:tcW w:w="1414" w:type="dxa"/>
            <w:vAlign w:val="center"/>
            <w:hideMark/>
          </w:tcPr>
          <w:p w14:paraId="5AB26FA6" w14:textId="1CB9F968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172</w:t>
            </w:r>
          </w:p>
        </w:tc>
        <w:tc>
          <w:tcPr>
            <w:tcW w:w="1414" w:type="dxa"/>
            <w:vAlign w:val="center"/>
            <w:hideMark/>
          </w:tcPr>
          <w:p w14:paraId="0A720EF2" w14:textId="4BEF7A69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175</w:t>
            </w:r>
          </w:p>
        </w:tc>
      </w:tr>
      <w:tr w:rsidR="00F33B5E" w:rsidRPr="004E7679" w14:paraId="106ECBD8" w14:textId="77777777" w:rsidTr="00F33B5E">
        <w:trPr>
          <w:trHeight w:val="457"/>
        </w:trPr>
        <w:tc>
          <w:tcPr>
            <w:tcW w:w="1414" w:type="dxa"/>
            <w:vMerge/>
            <w:hideMark/>
          </w:tcPr>
          <w:p w14:paraId="1B4A1D4E" w14:textId="77777777" w:rsidR="00F33B5E" w:rsidRPr="004E7679" w:rsidRDefault="00F33B5E" w:rsidP="00F33B5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0552EA31" w14:textId="77777777" w:rsidR="00F33B5E" w:rsidRPr="004E7679" w:rsidRDefault="00F33B5E" w:rsidP="00F33B5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Splnilo podmínky pro přijetí</w:t>
            </w:r>
          </w:p>
        </w:tc>
        <w:tc>
          <w:tcPr>
            <w:tcW w:w="1414" w:type="dxa"/>
            <w:vAlign w:val="center"/>
            <w:hideMark/>
          </w:tcPr>
          <w:p w14:paraId="58EF1DC2" w14:textId="26FC0701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104</w:t>
            </w:r>
          </w:p>
        </w:tc>
        <w:tc>
          <w:tcPr>
            <w:tcW w:w="1414" w:type="dxa"/>
            <w:vAlign w:val="center"/>
            <w:hideMark/>
          </w:tcPr>
          <w:p w14:paraId="68559203" w14:textId="3D56BB10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91</w:t>
            </w:r>
          </w:p>
        </w:tc>
        <w:tc>
          <w:tcPr>
            <w:tcW w:w="1414" w:type="dxa"/>
            <w:vAlign w:val="center"/>
            <w:hideMark/>
          </w:tcPr>
          <w:p w14:paraId="35CF6491" w14:textId="67A7C00E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86</w:t>
            </w:r>
          </w:p>
        </w:tc>
        <w:tc>
          <w:tcPr>
            <w:tcW w:w="1414" w:type="dxa"/>
            <w:vAlign w:val="center"/>
            <w:hideMark/>
          </w:tcPr>
          <w:p w14:paraId="7051E298" w14:textId="270DB116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92</w:t>
            </w:r>
          </w:p>
        </w:tc>
      </w:tr>
      <w:tr w:rsidR="00F33B5E" w:rsidRPr="004E7679" w14:paraId="760B3590" w14:textId="77777777" w:rsidTr="00F33B5E">
        <w:trPr>
          <w:trHeight w:val="310"/>
        </w:trPr>
        <w:tc>
          <w:tcPr>
            <w:tcW w:w="1414" w:type="dxa"/>
            <w:vMerge/>
            <w:hideMark/>
          </w:tcPr>
          <w:p w14:paraId="058EE33B" w14:textId="77777777" w:rsidR="00F33B5E" w:rsidRPr="004E7679" w:rsidRDefault="00F33B5E" w:rsidP="00F33B5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55B00608" w14:textId="77777777" w:rsidR="00F33B5E" w:rsidRPr="004E7679" w:rsidRDefault="00F33B5E" w:rsidP="00F33B5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Přijato</w:t>
            </w:r>
          </w:p>
        </w:tc>
        <w:tc>
          <w:tcPr>
            <w:tcW w:w="1414" w:type="dxa"/>
            <w:vAlign w:val="center"/>
            <w:hideMark/>
          </w:tcPr>
          <w:p w14:paraId="5CE43234" w14:textId="2568FB6E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96</w:t>
            </w:r>
          </w:p>
        </w:tc>
        <w:tc>
          <w:tcPr>
            <w:tcW w:w="1414" w:type="dxa"/>
            <w:vAlign w:val="center"/>
            <w:hideMark/>
          </w:tcPr>
          <w:p w14:paraId="3966D1CD" w14:textId="7244FFA3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84</w:t>
            </w:r>
          </w:p>
        </w:tc>
        <w:tc>
          <w:tcPr>
            <w:tcW w:w="1414" w:type="dxa"/>
            <w:vAlign w:val="center"/>
            <w:hideMark/>
          </w:tcPr>
          <w:p w14:paraId="388B884E" w14:textId="6E3BD73C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77</w:t>
            </w:r>
          </w:p>
        </w:tc>
        <w:tc>
          <w:tcPr>
            <w:tcW w:w="1414" w:type="dxa"/>
            <w:vAlign w:val="center"/>
            <w:hideMark/>
          </w:tcPr>
          <w:p w14:paraId="5BF8E237" w14:textId="582495F4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75</w:t>
            </w:r>
          </w:p>
        </w:tc>
      </w:tr>
      <w:tr w:rsidR="00F33B5E" w:rsidRPr="004E7679" w14:paraId="1F9141AE" w14:textId="77777777" w:rsidTr="00F33B5E">
        <w:trPr>
          <w:trHeight w:val="310"/>
        </w:trPr>
        <w:tc>
          <w:tcPr>
            <w:tcW w:w="1414" w:type="dxa"/>
            <w:vMerge/>
            <w:hideMark/>
          </w:tcPr>
          <w:p w14:paraId="2712D07F" w14:textId="77777777" w:rsidR="00F33B5E" w:rsidRPr="004E7679" w:rsidRDefault="00F33B5E" w:rsidP="00F33B5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17D5634B" w14:textId="77777777" w:rsidR="00F33B5E" w:rsidRPr="004E7679" w:rsidRDefault="00F33B5E" w:rsidP="00F33B5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Zapsáno</w:t>
            </w:r>
          </w:p>
        </w:tc>
        <w:tc>
          <w:tcPr>
            <w:tcW w:w="1414" w:type="dxa"/>
            <w:vAlign w:val="center"/>
            <w:hideMark/>
          </w:tcPr>
          <w:p w14:paraId="704EEED6" w14:textId="3312E4A9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74</w:t>
            </w:r>
          </w:p>
        </w:tc>
        <w:tc>
          <w:tcPr>
            <w:tcW w:w="1414" w:type="dxa"/>
            <w:vAlign w:val="center"/>
            <w:hideMark/>
          </w:tcPr>
          <w:p w14:paraId="1F2D8998" w14:textId="474D34B0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75</w:t>
            </w:r>
          </w:p>
        </w:tc>
        <w:tc>
          <w:tcPr>
            <w:tcW w:w="1414" w:type="dxa"/>
            <w:vAlign w:val="center"/>
            <w:hideMark/>
          </w:tcPr>
          <w:p w14:paraId="31045DD1" w14:textId="142C9296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67</w:t>
            </w:r>
          </w:p>
        </w:tc>
        <w:tc>
          <w:tcPr>
            <w:tcW w:w="1414" w:type="dxa"/>
            <w:vAlign w:val="center"/>
            <w:hideMark/>
          </w:tcPr>
          <w:p w14:paraId="0F8FED5A" w14:textId="5CE2F197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69</w:t>
            </w:r>
          </w:p>
        </w:tc>
      </w:tr>
      <w:tr w:rsidR="00F33B5E" w:rsidRPr="004E7679" w14:paraId="165035B5" w14:textId="77777777" w:rsidTr="00F33B5E">
        <w:trPr>
          <w:trHeight w:val="310"/>
        </w:trPr>
        <w:tc>
          <w:tcPr>
            <w:tcW w:w="1414" w:type="dxa"/>
            <w:vMerge w:val="restart"/>
            <w:textDirection w:val="btLr"/>
            <w:hideMark/>
          </w:tcPr>
          <w:p w14:paraId="22917B97" w14:textId="77777777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945" w:type="dxa"/>
            <w:hideMark/>
          </w:tcPr>
          <w:p w14:paraId="423F1F5B" w14:textId="77777777" w:rsidR="00F33B5E" w:rsidRPr="004E7679" w:rsidRDefault="00F33B5E" w:rsidP="00F33B5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Přihlášeno </w:t>
            </w:r>
          </w:p>
        </w:tc>
        <w:tc>
          <w:tcPr>
            <w:tcW w:w="1414" w:type="dxa"/>
            <w:vAlign w:val="center"/>
            <w:hideMark/>
          </w:tcPr>
          <w:p w14:paraId="0AA2B530" w14:textId="083C9B8F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455</w:t>
            </w:r>
          </w:p>
        </w:tc>
        <w:tc>
          <w:tcPr>
            <w:tcW w:w="1414" w:type="dxa"/>
            <w:vAlign w:val="center"/>
            <w:hideMark/>
          </w:tcPr>
          <w:p w14:paraId="1F0D9EB9" w14:textId="623459DB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492</w:t>
            </w:r>
          </w:p>
        </w:tc>
        <w:tc>
          <w:tcPr>
            <w:tcW w:w="1414" w:type="dxa"/>
            <w:vAlign w:val="center"/>
            <w:hideMark/>
          </w:tcPr>
          <w:p w14:paraId="688EE018" w14:textId="6AAD51AC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480</w:t>
            </w:r>
          </w:p>
        </w:tc>
        <w:tc>
          <w:tcPr>
            <w:tcW w:w="1414" w:type="dxa"/>
            <w:vAlign w:val="center"/>
            <w:hideMark/>
          </w:tcPr>
          <w:p w14:paraId="4C37DE19" w14:textId="5C74DBC9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483</w:t>
            </w:r>
          </w:p>
        </w:tc>
      </w:tr>
      <w:tr w:rsidR="00F33B5E" w:rsidRPr="004E7679" w14:paraId="2368153A" w14:textId="77777777" w:rsidTr="00F33B5E">
        <w:trPr>
          <w:trHeight w:val="457"/>
        </w:trPr>
        <w:tc>
          <w:tcPr>
            <w:tcW w:w="1414" w:type="dxa"/>
            <w:vMerge/>
            <w:hideMark/>
          </w:tcPr>
          <w:p w14:paraId="1E292551" w14:textId="77777777" w:rsidR="00F33B5E" w:rsidRPr="004E7679" w:rsidRDefault="00F33B5E" w:rsidP="00F33B5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2B894F9F" w14:textId="77777777" w:rsidR="00F33B5E" w:rsidRPr="004E7679" w:rsidRDefault="00F33B5E" w:rsidP="00F33B5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Splnilo podmínky pro přijetí</w:t>
            </w:r>
          </w:p>
        </w:tc>
        <w:tc>
          <w:tcPr>
            <w:tcW w:w="1414" w:type="dxa"/>
            <w:vAlign w:val="center"/>
            <w:hideMark/>
          </w:tcPr>
          <w:p w14:paraId="4DC04D45" w14:textId="1561103D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290</w:t>
            </w:r>
          </w:p>
        </w:tc>
        <w:tc>
          <w:tcPr>
            <w:tcW w:w="1414" w:type="dxa"/>
            <w:vAlign w:val="center"/>
            <w:hideMark/>
          </w:tcPr>
          <w:p w14:paraId="656126FB" w14:textId="2C5B98DE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290</w:t>
            </w:r>
          </w:p>
        </w:tc>
        <w:tc>
          <w:tcPr>
            <w:tcW w:w="1414" w:type="dxa"/>
            <w:vAlign w:val="center"/>
            <w:hideMark/>
          </w:tcPr>
          <w:p w14:paraId="5B215FFF" w14:textId="0F97E16C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243</w:t>
            </w:r>
          </w:p>
        </w:tc>
        <w:tc>
          <w:tcPr>
            <w:tcW w:w="1414" w:type="dxa"/>
            <w:vAlign w:val="center"/>
            <w:hideMark/>
          </w:tcPr>
          <w:p w14:paraId="2A6C9A4C" w14:textId="72F5B03F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236</w:t>
            </w:r>
          </w:p>
        </w:tc>
      </w:tr>
      <w:tr w:rsidR="00F33B5E" w:rsidRPr="004E7679" w14:paraId="771F4B52" w14:textId="77777777" w:rsidTr="00F33B5E">
        <w:trPr>
          <w:trHeight w:val="310"/>
        </w:trPr>
        <w:tc>
          <w:tcPr>
            <w:tcW w:w="1414" w:type="dxa"/>
            <w:vMerge/>
            <w:hideMark/>
          </w:tcPr>
          <w:p w14:paraId="6B030DB6" w14:textId="77777777" w:rsidR="00F33B5E" w:rsidRPr="004E7679" w:rsidRDefault="00F33B5E" w:rsidP="00F33B5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6F31EF6F" w14:textId="77777777" w:rsidR="00F33B5E" w:rsidRPr="004E7679" w:rsidRDefault="00F33B5E" w:rsidP="00F33B5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Přijato</w:t>
            </w:r>
          </w:p>
        </w:tc>
        <w:tc>
          <w:tcPr>
            <w:tcW w:w="1414" w:type="dxa"/>
            <w:vAlign w:val="center"/>
            <w:hideMark/>
          </w:tcPr>
          <w:p w14:paraId="69BB59F3" w14:textId="42E3210A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239</w:t>
            </w:r>
          </w:p>
        </w:tc>
        <w:tc>
          <w:tcPr>
            <w:tcW w:w="1414" w:type="dxa"/>
            <w:vAlign w:val="center"/>
            <w:hideMark/>
          </w:tcPr>
          <w:p w14:paraId="5376BD61" w14:textId="61490821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246</w:t>
            </w:r>
          </w:p>
        </w:tc>
        <w:tc>
          <w:tcPr>
            <w:tcW w:w="1414" w:type="dxa"/>
            <w:vAlign w:val="center"/>
            <w:hideMark/>
          </w:tcPr>
          <w:p w14:paraId="0D4C26FB" w14:textId="5DECF0AE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171</w:t>
            </w:r>
          </w:p>
        </w:tc>
        <w:tc>
          <w:tcPr>
            <w:tcW w:w="1414" w:type="dxa"/>
            <w:vAlign w:val="center"/>
            <w:hideMark/>
          </w:tcPr>
          <w:p w14:paraId="3D801E83" w14:textId="7F14654D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167</w:t>
            </w:r>
          </w:p>
        </w:tc>
      </w:tr>
      <w:tr w:rsidR="00F33B5E" w:rsidRPr="004E7679" w14:paraId="6CEA27A2" w14:textId="77777777" w:rsidTr="00F33B5E">
        <w:trPr>
          <w:trHeight w:val="310"/>
        </w:trPr>
        <w:tc>
          <w:tcPr>
            <w:tcW w:w="1414" w:type="dxa"/>
            <w:vMerge/>
            <w:hideMark/>
          </w:tcPr>
          <w:p w14:paraId="069990CA" w14:textId="77777777" w:rsidR="00F33B5E" w:rsidRPr="004E7679" w:rsidRDefault="00F33B5E" w:rsidP="00F33B5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4C543C92" w14:textId="77777777" w:rsidR="00F33B5E" w:rsidRPr="004E7679" w:rsidRDefault="00F33B5E" w:rsidP="00F33B5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Zapsáno</w:t>
            </w:r>
          </w:p>
        </w:tc>
        <w:tc>
          <w:tcPr>
            <w:tcW w:w="1414" w:type="dxa"/>
            <w:vAlign w:val="center"/>
            <w:hideMark/>
          </w:tcPr>
          <w:p w14:paraId="56A486CD" w14:textId="464213C9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149</w:t>
            </w:r>
          </w:p>
        </w:tc>
        <w:tc>
          <w:tcPr>
            <w:tcW w:w="1414" w:type="dxa"/>
            <w:vAlign w:val="center"/>
            <w:hideMark/>
          </w:tcPr>
          <w:p w14:paraId="00D4578B" w14:textId="7B8FD4EC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160</w:t>
            </w:r>
          </w:p>
        </w:tc>
        <w:tc>
          <w:tcPr>
            <w:tcW w:w="1414" w:type="dxa"/>
            <w:vAlign w:val="center"/>
            <w:hideMark/>
          </w:tcPr>
          <w:p w14:paraId="6D2F26A4" w14:textId="0AEAAFF4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143</w:t>
            </w:r>
          </w:p>
        </w:tc>
        <w:tc>
          <w:tcPr>
            <w:tcW w:w="1414" w:type="dxa"/>
            <w:vAlign w:val="center"/>
            <w:hideMark/>
          </w:tcPr>
          <w:p w14:paraId="44EA55CB" w14:textId="31FE51A6" w:rsidR="00F33B5E" w:rsidRPr="004E7679" w:rsidRDefault="00F33B5E" w:rsidP="00F33B5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137</w:t>
            </w:r>
          </w:p>
        </w:tc>
      </w:tr>
    </w:tbl>
    <w:p w14:paraId="71130A34" w14:textId="77777777" w:rsidR="00986A97" w:rsidRDefault="00986A97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D</w:t>
      </w:r>
      <w:r>
        <w:rPr>
          <w:sz w:val="16"/>
          <w:szCs w:val="16"/>
          <w:vertAlign w:val="subscript"/>
        </w:rPr>
        <w:t>1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2A70F10B" w14:textId="77777777" w:rsidR="00BD4A4E" w:rsidRDefault="00BD4A4E" w:rsidP="0057118F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p w14:paraId="31DADE61" w14:textId="77777777" w:rsidR="002615D8" w:rsidRDefault="002615D8" w:rsidP="00B769CE">
      <w:pPr>
        <w:ind w:right="454"/>
        <w:rPr>
          <w:rFonts w:cs="Arial"/>
          <w:color w:val="7030A0"/>
        </w:rPr>
      </w:pPr>
    </w:p>
    <w:p w14:paraId="60E37368" w14:textId="77777777" w:rsidR="002615D8" w:rsidRDefault="002615D8" w:rsidP="00B769CE">
      <w:pPr>
        <w:ind w:right="454"/>
        <w:rPr>
          <w:rFonts w:cs="Arial"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172EAA" w:rsidRPr="0058573E" w14:paraId="6A4B265A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016E8E55" w14:textId="5F47635F" w:rsidR="00172EAA" w:rsidRPr="00EE039E" w:rsidRDefault="004F3D4B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Vyhodnocení</w:t>
            </w:r>
            <w:r w:rsidR="00172EAA" w:rsidRPr="00EE039E">
              <w:rPr>
                <w:rFonts w:ascii="Arial" w:hAnsi="Arial" w:cs="Arial"/>
                <w:b/>
                <w:sz w:val="20"/>
              </w:rPr>
              <w:t xml:space="preserve"> </w:t>
            </w:r>
            <w:r w:rsidR="005C00BE">
              <w:rPr>
                <w:rFonts w:ascii="Arial" w:hAnsi="Arial" w:cs="Arial"/>
                <w:b/>
                <w:sz w:val="20"/>
              </w:rPr>
              <w:t xml:space="preserve">míry úspěšnosti </w:t>
            </w:r>
            <w:r w:rsidR="00884D04">
              <w:rPr>
                <w:rFonts w:ascii="Arial" w:hAnsi="Arial" w:cs="Arial"/>
                <w:b/>
                <w:sz w:val="20"/>
              </w:rPr>
              <w:t xml:space="preserve">uchazečů </w:t>
            </w:r>
            <w:r w:rsidR="00172EAA" w:rsidRPr="00EE039E">
              <w:rPr>
                <w:rFonts w:ascii="Arial" w:hAnsi="Arial" w:cs="Arial"/>
                <w:b/>
                <w:sz w:val="20"/>
              </w:rPr>
              <w:t>v</w:t>
            </w:r>
            <w:r w:rsidR="00163EBD">
              <w:rPr>
                <w:rFonts w:ascii="Arial" w:hAnsi="Arial" w:cs="Arial"/>
                <w:b/>
                <w:sz w:val="20"/>
              </w:rPr>
              <w:t> přijímacím řízení</w:t>
            </w:r>
          </w:p>
          <w:p w14:paraId="09570443" w14:textId="7BA99077" w:rsidR="00172EAA" w:rsidRPr="00AC4575" w:rsidRDefault="00172EAA" w:rsidP="0057118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0C7A4B">
              <w:rPr>
                <w:rFonts w:ascii="Arial" w:hAnsi="Arial" w:cs="Arial"/>
                <w:i/>
                <w:sz w:val="16"/>
                <w:szCs w:val="16"/>
              </w:rPr>
              <w:t>popis závěrů vyvozených</w:t>
            </w:r>
            <w:r w:rsidR="00C17018">
              <w:rPr>
                <w:rFonts w:ascii="Arial" w:hAnsi="Arial" w:cs="Arial"/>
                <w:i/>
                <w:sz w:val="16"/>
                <w:szCs w:val="16"/>
              </w:rPr>
              <w:t xml:space="preserve"> z</w:t>
            </w:r>
            <w:r w:rsidR="005C00BE">
              <w:rPr>
                <w:rFonts w:ascii="Arial" w:hAnsi="Arial" w:cs="Arial"/>
                <w:i/>
                <w:sz w:val="16"/>
                <w:szCs w:val="16"/>
              </w:rPr>
              <w:t xml:space="preserve"> dosahované </w:t>
            </w:r>
            <w:r w:rsidR="00C17018">
              <w:rPr>
                <w:rFonts w:ascii="Arial" w:hAnsi="Arial" w:cs="Arial"/>
                <w:i/>
                <w:sz w:val="16"/>
                <w:szCs w:val="16"/>
              </w:rPr>
              <w:t xml:space="preserve">míry úspěšnosti </w:t>
            </w:r>
            <w:r w:rsidR="0077211C">
              <w:rPr>
                <w:rFonts w:ascii="Arial" w:hAnsi="Arial" w:cs="Arial"/>
                <w:i/>
                <w:sz w:val="16"/>
                <w:szCs w:val="16"/>
              </w:rPr>
              <w:t>uchazečů</w:t>
            </w:r>
            <w:r w:rsidR="00C17018">
              <w:rPr>
                <w:rFonts w:ascii="Arial" w:hAnsi="Arial" w:cs="Arial"/>
                <w:i/>
                <w:sz w:val="16"/>
                <w:szCs w:val="16"/>
              </w:rPr>
              <w:t xml:space="preserve"> a opatření</w:t>
            </w:r>
            <w:r w:rsidR="0057118F">
              <w:rPr>
                <w:rFonts w:ascii="Arial" w:hAnsi="Arial" w:cs="Arial"/>
                <w:i/>
                <w:sz w:val="16"/>
                <w:szCs w:val="16"/>
              </w:rPr>
              <w:t>, která byla v reakci na tyto závěry přijata</w:t>
            </w:r>
            <w:r w:rsidR="00153A98" w:rsidRPr="00153A98">
              <w:rPr>
                <w:rFonts w:ascii="Arial" w:hAnsi="Arial" w:cs="Arial"/>
                <w:i/>
                <w:sz w:val="16"/>
                <w:szCs w:val="16"/>
              </w:rPr>
              <w:t>;</w:t>
            </w:r>
            <w:r w:rsidR="005D3FB3">
              <w:rPr>
                <w:rFonts w:ascii="Arial" w:hAnsi="Arial" w:cs="Arial"/>
                <w:i/>
                <w:sz w:val="16"/>
                <w:szCs w:val="16"/>
              </w:rPr>
              <w:t xml:space="preserve"> práce s uchazeči</w:t>
            </w:r>
            <w:r w:rsidR="00C17018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172EAA" w:rsidRPr="0058573E" w14:paraId="2838E9E3" w14:textId="77777777" w:rsidTr="00F363C1">
        <w:trPr>
          <w:trHeight w:val="1069"/>
        </w:trPr>
        <w:tc>
          <w:tcPr>
            <w:tcW w:w="9040" w:type="dxa"/>
          </w:tcPr>
          <w:p w14:paraId="600B2FE2" w14:textId="3F6437C3" w:rsidR="00EF3D49" w:rsidRPr="0058573E" w:rsidRDefault="00F33B5E" w:rsidP="00C14550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Jedna z podmínek přijetí</w:t>
            </w:r>
            <w:r w:rsidR="00D079C4">
              <w:rPr>
                <w:rFonts w:ascii="Arial" w:hAnsi="Arial" w:cs="Arial"/>
                <w:sz w:val="20"/>
              </w:rPr>
              <w:t xml:space="preserve"> ke studiu</w:t>
            </w:r>
            <w:r>
              <w:rPr>
                <w:rFonts w:ascii="Arial" w:hAnsi="Arial" w:cs="Arial"/>
                <w:sz w:val="20"/>
              </w:rPr>
              <w:t xml:space="preserve"> bylo absolvování testu obecných studijních předpokladů v rámci Národních srovnávacích zkoušek organizovaných společností SCIO. Míra úspěšnosti uchazečů </w:t>
            </w:r>
            <w:r w:rsidR="00D079C4"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t xml:space="preserve">u přijímacích zkoušek je okolo 55 %. S ohledem na možnost výběru kvalitních uchazečů o studium pokládáme tuto hodnotu za akceptovatelnou.   </w:t>
            </w:r>
          </w:p>
        </w:tc>
      </w:tr>
    </w:tbl>
    <w:p w14:paraId="7A49EF4E" w14:textId="77777777" w:rsidR="00172EAA" w:rsidRDefault="00172EAA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rFonts w:eastAsia="Times New Roman" w:cs="Arial"/>
          <w:sz w:val="18"/>
          <w:szCs w:val="18"/>
          <w:lang w:eastAsia="cs-CZ"/>
        </w:rPr>
      </w:pPr>
    </w:p>
    <w:p w14:paraId="07CB64EA" w14:textId="77777777" w:rsidR="00BC5635" w:rsidRDefault="00BC5635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rFonts w:eastAsia="Times New Roman" w:cs="Arial"/>
          <w:sz w:val="18"/>
          <w:szCs w:val="18"/>
          <w:lang w:eastAsia="cs-CZ"/>
        </w:rPr>
      </w:pPr>
    </w:p>
    <w:p w14:paraId="16FA8ADE" w14:textId="77777777" w:rsidR="00BD4A4E" w:rsidRDefault="00BD4A4E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rFonts w:eastAsia="Times New Roman" w:cs="Arial"/>
          <w:sz w:val="18"/>
          <w:szCs w:val="18"/>
          <w:lang w:eastAsia="cs-CZ"/>
        </w:rPr>
      </w:pPr>
    </w:p>
    <w:p w14:paraId="24AE22F8" w14:textId="77777777" w:rsidR="00BD4A4E" w:rsidRDefault="00BD4A4E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rFonts w:eastAsia="Times New Roman" w:cs="Arial"/>
          <w:sz w:val="18"/>
          <w:szCs w:val="18"/>
          <w:lang w:eastAsia="cs-CZ"/>
        </w:rPr>
      </w:pPr>
    </w:p>
    <w:p w14:paraId="4780570A" w14:textId="77777777" w:rsidR="00BD4A4E" w:rsidRDefault="00BD4A4E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rFonts w:eastAsia="Times New Roman" w:cs="Arial"/>
          <w:sz w:val="18"/>
          <w:szCs w:val="18"/>
          <w:lang w:eastAsia="cs-CZ"/>
        </w:rPr>
        <w:sectPr w:rsidR="00BD4A4E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6F8F5538" w14:textId="2FD5E6F4" w:rsidR="006072F1" w:rsidRPr="00D03D96" w:rsidRDefault="00D03D96" w:rsidP="006072F1">
      <w:pPr>
        <w:ind w:right="454"/>
        <w:rPr>
          <w:rFonts w:ascii="Arial Narrow" w:hAnsi="Arial Narrow" w:cs="Arial"/>
          <w:color w:val="7030A0"/>
          <w:sz w:val="32"/>
          <w:szCs w:val="32"/>
        </w:rPr>
      </w:pPr>
      <w:r w:rsidRPr="00D03D96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lastRenderedPageBreak/>
        <w:t xml:space="preserve">Část 7.) Neúspěšnost </w:t>
      </w:r>
      <w:r w:rsidR="006072F1" w:rsidRPr="00D03D96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ve studiu a řádné ukončování studia</w:t>
      </w:r>
      <w:r w:rsidR="006072F1" w:rsidRPr="00D03D96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 </w:t>
      </w:r>
    </w:p>
    <w:p w14:paraId="220B7802" w14:textId="77777777" w:rsidR="00262FEA" w:rsidRPr="00E73555" w:rsidRDefault="00262FEA" w:rsidP="00262FEA">
      <w:pPr>
        <w:pStyle w:val="Bezmezer"/>
        <w:ind w:right="283"/>
        <w:rPr>
          <w:rFonts w:ascii="Arial" w:hAnsi="Arial" w:cs="Arial"/>
          <w:b/>
          <w:color w:val="7030A0"/>
          <w:sz w:val="32"/>
          <w:szCs w:val="32"/>
        </w:rPr>
      </w:pPr>
    </w:p>
    <w:tbl>
      <w:tblPr>
        <w:tblStyle w:val="Mkatabulky"/>
        <w:tblW w:w="9036" w:type="dxa"/>
        <w:tblLook w:val="04A0" w:firstRow="1" w:lastRow="0" w:firstColumn="1" w:lastColumn="0" w:noHBand="0" w:noVBand="1"/>
      </w:tblPr>
      <w:tblGrid>
        <w:gridCol w:w="1805"/>
        <w:gridCol w:w="406"/>
        <w:gridCol w:w="2179"/>
        <w:gridCol w:w="1272"/>
        <w:gridCol w:w="1125"/>
        <w:gridCol w:w="1125"/>
        <w:gridCol w:w="1124"/>
      </w:tblGrid>
      <w:tr w:rsidR="00417A02" w:rsidRPr="00D03D96" w14:paraId="1D29E7E2" w14:textId="77777777" w:rsidTr="00160D7F">
        <w:trPr>
          <w:trHeight w:val="405"/>
        </w:trPr>
        <w:tc>
          <w:tcPr>
            <w:tcW w:w="4390" w:type="dxa"/>
            <w:gridSpan w:val="3"/>
            <w:shd w:val="clear" w:color="auto" w:fill="F7CAAC" w:themeFill="accent2" w:themeFillTint="66"/>
            <w:hideMark/>
          </w:tcPr>
          <w:p w14:paraId="23C361FE" w14:textId="48F6C309" w:rsidR="00417A02" w:rsidRPr="00D03D96" w:rsidRDefault="00417A02" w:rsidP="00417A02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Míra studijní neúspěšnosti</w:t>
            </w: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v %</w:t>
            </w: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1)</w:t>
            </w:r>
          </w:p>
        </w:tc>
        <w:tc>
          <w:tcPr>
            <w:tcW w:w="1272" w:type="dxa"/>
            <w:shd w:val="clear" w:color="auto" w:fill="F7CAAC" w:themeFill="accent2" w:themeFillTint="66"/>
            <w:hideMark/>
          </w:tcPr>
          <w:p w14:paraId="19931DAD" w14:textId="684A9DD9" w:rsidR="00417A02" w:rsidRPr="00D03D96" w:rsidRDefault="00417A02" w:rsidP="00417A02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2020/2021</w:t>
            </w:r>
          </w:p>
        </w:tc>
        <w:tc>
          <w:tcPr>
            <w:tcW w:w="1125" w:type="dxa"/>
            <w:shd w:val="clear" w:color="auto" w:fill="F7CAAC" w:themeFill="accent2" w:themeFillTint="66"/>
            <w:hideMark/>
          </w:tcPr>
          <w:p w14:paraId="3BE62581" w14:textId="52BD9B86" w:rsidR="00417A02" w:rsidRPr="00D03D96" w:rsidRDefault="00417A02" w:rsidP="00417A02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2021/2022</w:t>
            </w:r>
          </w:p>
        </w:tc>
        <w:tc>
          <w:tcPr>
            <w:tcW w:w="1125" w:type="dxa"/>
            <w:shd w:val="clear" w:color="auto" w:fill="F7CAAC" w:themeFill="accent2" w:themeFillTint="66"/>
            <w:hideMark/>
          </w:tcPr>
          <w:p w14:paraId="07398D6C" w14:textId="74761DEB" w:rsidR="00417A02" w:rsidRPr="00D03D96" w:rsidRDefault="00417A02" w:rsidP="00417A02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2022/2023</w:t>
            </w:r>
          </w:p>
        </w:tc>
        <w:tc>
          <w:tcPr>
            <w:tcW w:w="1124" w:type="dxa"/>
            <w:shd w:val="clear" w:color="auto" w:fill="F7CAAC" w:themeFill="accent2" w:themeFillTint="66"/>
            <w:hideMark/>
          </w:tcPr>
          <w:p w14:paraId="45F32D9E" w14:textId="6C35AADE" w:rsidR="00417A02" w:rsidRPr="00D03D96" w:rsidRDefault="00417A02" w:rsidP="00417A02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2023/2024</w:t>
            </w:r>
          </w:p>
        </w:tc>
      </w:tr>
      <w:tr w:rsidR="007F6F2D" w:rsidRPr="00D03D96" w14:paraId="70331512" w14:textId="77777777" w:rsidTr="007F6F2D">
        <w:trPr>
          <w:trHeight w:val="405"/>
        </w:trPr>
        <w:tc>
          <w:tcPr>
            <w:tcW w:w="1805" w:type="dxa"/>
            <w:vMerge w:val="restart"/>
            <w:hideMark/>
          </w:tcPr>
          <w:p w14:paraId="6BB188A3" w14:textId="19A5A3AA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 roce studia</w:t>
            </w:r>
          </w:p>
        </w:tc>
        <w:tc>
          <w:tcPr>
            <w:tcW w:w="406" w:type="dxa"/>
            <w:vMerge w:val="restart"/>
            <w:textDirection w:val="btLr"/>
            <w:hideMark/>
          </w:tcPr>
          <w:p w14:paraId="14D3D69E" w14:textId="77777777" w:rsidR="007F6F2D" w:rsidRPr="00D03D96" w:rsidRDefault="007F6F2D" w:rsidP="007F6F2D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9" w:type="dxa"/>
            <w:hideMark/>
          </w:tcPr>
          <w:p w14:paraId="1DDD398D" w14:textId="77777777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2" w:type="dxa"/>
            <w:vAlign w:val="center"/>
          </w:tcPr>
          <w:p w14:paraId="4AF59B02" w14:textId="43257E01" w:rsidR="007F6F2D" w:rsidRPr="007F6F2D" w:rsidRDefault="00FD555A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10</w:t>
            </w:r>
          </w:p>
        </w:tc>
        <w:tc>
          <w:tcPr>
            <w:tcW w:w="1125" w:type="dxa"/>
            <w:vAlign w:val="center"/>
          </w:tcPr>
          <w:p w14:paraId="4B486BD3" w14:textId="2CCCBE38" w:rsidR="007F6F2D" w:rsidRPr="007F6F2D" w:rsidRDefault="00404F63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13</w:t>
            </w:r>
          </w:p>
        </w:tc>
        <w:tc>
          <w:tcPr>
            <w:tcW w:w="1125" w:type="dxa"/>
            <w:vAlign w:val="center"/>
          </w:tcPr>
          <w:p w14:paraId="345D5E29" w14:textId="1155C4EC" w:rsidR="007F6F2D" w:rsidRPr="007F6F2D" w:rsidRDefault="00404F63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17</w:t>
            </w:r>
          </w:p>
        </w:tc>
        <w:tc>
          <w:tcPr>
            <w:tcW w:w="1124" w:type="dxa"/>
            <w:vAlign w:val="center"/>
          </w:tcPr>
          <w:p w14:paraId="7CF222EF" w14:textId="628A755B" w:rsidR="007F6F2D" w:rsidRPr="007F6F2D" w:rsidRDefault="00404F63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10</w:t>
            </w:r>
          </w:p>
        </w:tc>
      </w:tr>
      <w:tr w:rsidR="007F6F2D" w:rsidRPr="00D03D96" w14:paraId="703D15F8" w14:textId="77777777" w:rsidTr="007F6F2D">
        <w:trPr>
          <w:trHeight w:val="405"/>
        </w:trPr>
        <w:tc>
          <w:tcPr>
            <w:tcW w:w="1805" w:type="dxa"/>
            <w:vMerge/>
            <w:hideMark/>
          </w:tcPr>
          <w:p w14:paraId="72BC4341" w14:textId="77777777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3B6D0E39" w14:textId="77777777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61C7730D" w14:textId="77777777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  <w:bookmarkStart w:id="0" w:name="_GoBack"/>
            <w:bookmarkEnd w:id="0"/>
          </w:p>
        </w:tc>
        <w:tc>
          <w:tcPr>
            <w:tcW w:w="1272" w:type="dxa"/>
            <w:vAlign w:val="center"/>
          </w:tcPr>
          <w:p w14:paraId="3B95AB77" w14:textId="5AF70196" w:rsidR="007F6F2D" w:rsidRPr="007F6F2D" w:rsidRDefault="00404F63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18</w:t>
            </w:r>
          </w:p>
        </w:tc>
        <w:tc>
          <w:tcPr>
            <w:tcW w:w="1125" w:type="dxa"/>
            <w:vAlign w:val="center"/>
          </w:tcPr>
          <w:p w14:paraId="77DFC3BA" w14:textId="5B87C20C" w:rsidR="007F6F2D" w:rsidRPr="007F6F2D" w:rsidRDefault="00404F63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9</w:t>
            </w:r>
          </w:p>
        </w:tc>
        <w:tc>
          <w:tcPr>
            <w:tcW w:w="1125" w:type="dxa"/>
            <w:vAlign w:val="center"/>
          </w:tcPr>
          <w:p w14:paraId="5E64AC0E" w14:textId="588FCF43" w:rsidR="007F6F2D" w:rsidRPr="007F6F2D" w:rsidRDefault="00404F63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13</w:t>
            </w:r>
          </w:p>
        </w:tc>
        <w:tc>
          <w:tcPr>
            <w:tcW w:w="1124" w:type="dxa"/>
            <w:vAlign w:val="center"/>
          </w:tcPr>
          <w:p w14:paraId="57298E18" w14:textId="646C843C" w:rsidR="007F6F2D" w:rsidRPr="007F6F2D" w:rsidRDefault="00404F63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11</w:t>
            </w:r>
          </w:p>
        </w:tc>
      </w:tr>
      <w:tr w:rsidR="007F6F2D" w:rsidRPr="00D03D96" w14:paraId="1ACC7F3C" w14:textId="77777777" w:rsidTr="007F6F2D">
        <w:trPr>
          <w:trHeight w:val="405"/>
        </w:trPr>
        <w:tc>
          <w:tcPr>
            <w:tcW w:w="1805" w:type="dxa"/>
            <w:vMerge/>
            <w:hideMark/>
          </w:tcPr>
          <w:p w14:paraId="7280B078" w14:textId="77777777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4DFEE2A7" w14:textId="77777777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464A12A2" w14:textId="77777777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2" w:type="dxa"/>
            <w:vAlign w:val="center"/>
          </w:tcPr>
          <w:p w14:paraId="22B9B542" w14:textId="04AFBCA9" w:rsidR="007F6F2D" w:rsidRPr="007F6F2D" w:rsidRDefault="00404F63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14</w:t>
            </w:r>
          </w:p>
        </w:tc>
        <w:tc>
          <w:tcPr>
            <w:tcW w:w="1125" w:type="dxa"/>
            <w:vAlign w:val="center"/>
          </w:tcPr>
          <w:p w14:paraId="496B67BD" w14:textId="3F46CDA8" w:rsidR="007F6F2D" w:rsidRPr="007F6F2D" w:rsidRDefault="00404F63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11</w:t>
            </w:r>
          </w:p>
        </w:tc>
        <w:tc>
          <w:tcPr>
            <w:tcW w:w="1125" w:type="dxa"/>
            <w:vAlign w:val="center"/>
          </w:tcPr>
          <w:p w14:paraId="3877916E" w14:textId="4FCE0894" w:rsidR="007F6F2D" w:rsidRPr="007F6F2D" w:rsidRDefault="00404F63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15</w:t>
            </w:r>
          </w:p>
        </w:tc>
        <w:tc>
          <w:tcPr>
            <w:tcW w:w="1124" w:type="dxa"/>
            <w:vAlign w:val="center"/>
          </w:tcPr>
          <w:p w14:paraId="5E1305A5" w14:textId="56D007AB" w:rsidR="007F6F2D" w:rsidRPr="007F6F2D" w:rsidRDefault="00404F63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11</w:t>
            </w:r>
          </w:p>
        </w:tc>
      </w:tr>
      <w:tr w:rsidR="007F6F2D" w:rsidRPr="00D03D96" w14:paraId="1DE09C36" w14:textId="77777777" w:rsidTr="00F363C1">
        <w:trPr>
          <w:trHeight w:val="405"/>
        </w:trPr>
        <w:tc>
          <w:tcPr>
            <w:tcW w:w="1805" w:type="dxa"/>
            <w:vMerge w:val="restart"/>
            <w:hideMark/>
          </w:tcPr>
          <w:p w14:paraId="7F76813F" w14:textId="77777777" w:rsidR="007F6F2D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 až 2. roce studia</w:t>
            </w:r>
          </w:p>
          <w:p w14:paraId="3239D0AD" w14:textId="523B448E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(součet 1. a 2. roku)</w:t>
            </w:r>
          </w:p>
        </w:tc>
        <w:tc>
          <w:tcPr>
            <w:tcW w:w="406" w:type="dxa"/>
            <w:vMerge w:val="restart"/>
            <w:textDirection w:val="btLr"/>
            <w:hideMark/>
          </w:tcPr>
          <w:p w14:paraId="6F07594E" w14:textId="77777777" w:rsidR="007F6F2D" w:rsidRPr="00D03D96" w:rsidRDefault="007F6F2D" w:rsidP="007F6F2D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9" w:type="dxa"/>
            <w:hideMark/>
          </w:tcPr>
          <w:p w14:paraId="07FA0B16" w14:textId="77777777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2" w:type="dxa"/>
            <w:vAlign w:val="center"/>
          </w:tcPr>
          <w:p w14:paraId="1E880750" w14:textId="72795740" w:rsidR="007F6F2D" w:rsidRPr="007F6F2D" w:rsidRDefault="00FD555A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17</w:t>
            </w:r>
          </w:p>
        </w:tc>
        <w:tc>
          <w:tcPr>
            <w:tcW w:w="1125" w:type="dxa"/>
            <w:vAlign w:val="center"/>
          </w:tcPr>
          <w:p w14:paraId="638D4401" w14:textId="5CFC9E61" w:rsidR="007F6F2D" w:rsidRPr="007F6F2D" w:rsidRDefault="00404F63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24</w:t>
            </w:r>
          </w:p>
        </w:tc>
        <w:tc>
          <w:tcPr>
            <w:tcW w:w="1125" w:type="dxa"/>
            <w:vAlign w:val="center"/>
          </w:tcPr>
          <w:p w14:paraId="3D76C031" w14:textId="35082A75" w:rsidR="007F6F2D" w:rsidRPr="007F6F2D" w:rsidRDefault="00404F63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25</w:t>
            </w:r>
          </w:p>
        </w:tc>
        <w:tc>
          <w:tcPr>
            <w:tcW w:w="1124" w:type="dxa"/>
          </w:tcPr>
          <w:p w14:paraId="0FB7EBE0" w14:textId="33D3B2BA" w:rsidR="007F6F2D" w:rsidRPr="007F6F2D" w:rsidRDefault="007F6F2D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 w:rsidRPr="006F616D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</w:tr>
      <w:tr w:rsidR="007F6F2D" w:rsidRPr="00D03D96" w14:paraId="6A583125" w14:textId="77777777" w:rsidTr="00F363C1">
        <w:trPr>
          <w:trHeight w:val="405"/>
        </w:trPr>
        <w:tc>
          <w:tcPr>
            <w:tcW w:w="1805" w:type="dxa"/>
            <w:vMerge/>
            <w:hideMark/>
          </w:tcPr>
          <w:p w14:paraId="4CD5810F" w14:textId="77777777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35C4F431" w14:textId="77777777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5FD8CA2D" w14:textId="77777777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2" w:type="dxa"/>
            <w:vAlign w:val="center"/>
          </w:tcPr>
          <w:p w14:paraId="1AD0FA0A" w14:textId="522C9697" w:rsidR="007F6F2D" w:rsidRPr="007F6F2D" w:rsidRDefault="00404F63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25</w:t>
            </w:r>
          </w:p>
        </w:tc>
        <w:tc>
          <w:tcPr>
            <w:tcW w:w="1125" w:type="dxa"/>
            <w:vAlign w:val="center"/>
          </w:tcPr>
          <w:p w14:paraId="5E15155E" w14:textId="6F48580D" w:rsidR="007F6F2D" w:rsidRPr="007F6F2D" w:rsidRDefault="00404F63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20</w:t>
            </w:r>
          </w:p>
        </w:tc>
        <w:tc>
          <w:tcPr>
            <w:tcW w:w="1125" w:type="dxa"/>
            <w:vAlign w:val="center"/>
          </w:tcPr>
          <w:p w14:paraId="69E198C7" w14:textId="39805A89" w:rsidR="007F6F2D" w:rsidRPr="007F6F2D" w:rsidRDefault="00404F63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19</w:t>
            </w:r>
          </w:p>
        </w:tc>
        <w:tc>
          <w:tcPr>
            <w:tcW w:w="1124" w:type="dxa"/>
          </w:tcPr>
          <w:p w14:paraId="0EAEFE23" w14:textId="5B7C5B8A" w:rsidR="007F6F2D" w:rsidRPr="007F6F2D" w:rsidRDefault="007F6F2D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 w:rsidRPr="006F616D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</w:tr>
      <w:tr w:rsidR="007F6F2D" w:rsidRPr="00D03D96" w14:paraId="44DC123F" w14:textId="77777777" w:rsidTr="00F363C1">
        <w:trPr>
          <w:trHeight w:val="405"/>
        </w:trPr>
        <w:tc>
          <w:tcPr>
            <w:tcW w:w="1805" w:type="dxa"/>
            <w:vMerge/>
            <w:hideMark/>
          </w:tcPr>
          <w:p w14:paraId="54624DA1" w14:textId="77777777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5A48F69F" w14:textId="77777777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3C2A297F" w14:textId="77777777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2" w:type="dxa"/>
            <w:vAlign w:val="center"/>
          </w:tcPr>
          <w:p w14:paraId="3886D104" w14:textId="720B81A7" w:rsidR="007F6F2D" w:rsidRPr="007F6F2D" w:rsidRDefault="00404F63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21</w:t>
            </w:r>
          </w:p>
        </w:tc>
        <w:tc>
          <w:tcPr>
            <w:tcW w:w="1125" w:type="dxa"/>
            <w:vAlign w:val="center"/>
          </w:tcPr>
          <w:p w14:paraId="270D652A" w14:textId="740CD354" w:rsidR="007F6F2D" w:rsidRPr="007F6F2D" w:rsidRDefault="00404F63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22</w:t>
            </w:r>
          </w:p>
        </w:tc>
        <w:tc>
          <w:tcPr>
            <w:tcW w:w="1125" w:type="dxa"/>
            <w:vAlign w:val="center"/>
          </w:tcPr>
          <w:p w14:paraId="47EEC683" w14:textId="70FFF938" w:rsidR="007F6F2D" w:rsidRPr="007F6F2D" w:rsidRDefault="00404F63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22</w:t>
            </w:r>
          </w:p>
        </w:tc>
        <w:tc>
          <w:tcPr>
            <w:tcW w:w="1124" w:type="dxa"/>
          </w:tcPr>
          <w:p w14:paraId="2E4269A8" w14:textId="4CD0B265" w:rsidR="007F6F2D" w:rsidRPr="007F6F2D" w:rsidRDefault="007F6F2D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 w:rsidRPr="006F616D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</w:tr>
      <w:tr w:rsidR="007F6F2D" w:rsidRPr="00D03D96" w14:paraId="36F284D0" w14:textId="77777777" w:rsidTr="00F363C1">
        <w:trPr>
          <w:trHeight w:val="405"/>
        </w:trPr>
        <w:tc>
          <w:tcPr>
            <w:tcW w:w="1805" w:type="dxa"/>
            <w:vMerge w:val="restart"/>
            <w:hideMark/>
          </w:tcPr>
          <w:p w14:paraId="49B4C7EA" w14:textId="686962EC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 až 3. roce studia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(součet 1., 2. a 3. roku)</w:t>
            </w:r>
          </w:p>
        </w:tc>
        <w:tc>
          <w:tcPr>
            <w:tcW w:w="406" w:type="dxa"/>
            <w:vMerge w:val="restart"/>
            <w:textDirection w:val="btLr"/>
            <w:hideMark/>
          </w:tcPr>
          <w:p w14:paraId="37662B5C" w14:textId="77777777" w:rsidR="007F6F2D" w:rsidRPr="00D03D96" w:rsidRDefault="007F6F2D" w:rsidP="007F6F2D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9" w:type="dxa"/>
            <w:hideMark/>
          </w:tcPr>
          <w:p w14:paraId="659A299C" w14:textId="77777777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2" w:type="dxa"/>
            <w:vAlign w:val="center"/>
          </w:tcPr>
          <w:p w14:paraId="663B208F" w14:textId="6A249732" w:rsidR="007F6F2D" w:rsidRPr="007F6F2D" w:rsidRDefault="00FD555A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17</w:t>
            </w:r>
          </w:p>
        </w:tc>
        <w:tc>
          <w:tcPr>
            <w:tcW w:w="1125" w:type="dxa"/>
            <w:vAlign w:val="center"/>
          </w:tcPr>
          <w:p w14:paraId="055CF474" w14:textId="4465CD3C" w:rsidR="007F6F2D" w:rsidRPr="007F6F2D" w:rsidRDefault="00404F63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29</w:t>
            </w:r>
          </w:p>
        </w:tc>
        <w:tc>
          <w:tcPr>
            <w:tcW w:w="1125" w:type="dxa"/>
            <w:vAlign w:val="center"/>
          </w:tcPr>
          <w:p w14:paraId="5A1ACC33" w14:textId="2D713362" w:rsidR="007F6F2D" w:rsidRPr="007F6F2D" w:rsidRDefault="007F6F2D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  <w:tc>
          <w:tcPr>
            <w:tcW w:w="1124" w:type="dxa"/>
          </w:tcPr>
          <w:p w14:paraId="511893FF" w14:textId="7D58B0CB" w:rsidR="007F6F2D" w:rsidRPr="007F6F2D" w:rsidRDefault="007F6F2D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 w:rsidRPr="006F616D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</w:tr>
      <w:tr w:rsidR="007F6F2D" w:rsidRPr="00D03D96" w14:paraId="5158A02A" w14:textId="77777777" w:rsidTr="00F363C1">
        <w:trPr>
          <w:trHeight w:val="405"/>
        </w:trPr>
        <w:tc>
          <w:tcPr>
            <w:tcW w:w="1805" w:type="dxa"/>
            <w:vMerge/>
            <w:hideMark/>
          </w:tcPr>
          <w:p w14:paraId="10DDFDFA" w14:textId="77777777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2F650E34" w14:textId="77777777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52DEA513" w14:textId="77777777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2" w:type="dxa"/>
            <w:vAlign w:val="center"/>
          </w:tcPr>
          <w:p w14:paraId="426FAEFB" w14:textId="1292A601" w:rsidR="007F6F2D" w:rsidRPr="007F6F2D" w:rsidRDefault="00404F63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30</w:t>
            </w:r>
          </w:p>
        </w:tc>
        <w:tc>
          <w:tcPr>
            <w:tcW w:w="1125" w:type="dxa"/>
            <w:vAlign w:val="center"/>
          </w:tcPr>
          <w:p w14:paraId="5198AE4C" w14:textId="7A2910A6" w:rsidR="007F6F2D" w:rsidRPr="007F6F2D" w:rsidRDefault="00404F63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23</w:t>
            </w:r>
          </w:p>
        </w:tc>
        <w:tc>
          <w:tcPr>
            <w:tcW w:w="1125" w:type="dxa"/>
          </w:tcPr>
          <w:p w14:paraId="69636EA7" w14:textId="2C5AA8D6" w:rsidR="007F6F2D" w:rsidRPr="007F6F2D" w:rsidRDefault="007F6F2D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 w:rsidRPr="009A594E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  <w:tc>
          <w:tcPr>
            <w:tcW w:w="1124" w:type="dxa"/>
          </w:tcPr>
          <w:p w14:paraId="2698DCBA" w14:textId="4E834F5C" w:rsidR="007F6F2D" w:rsidRPr="007F6F2D" w:rsidRDefault="007F6F2D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 w:rsidRPr="006F616D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</w:tr>
      <w:tr w:rsidR="007F6F2D" w:rsidRPr="00D03D96" w14:paraId="7EB73C59" w14:textId="77777777" w:rsidTr="00F363C1">
        <w:trPr>
          <w:trHeight w:val="405"/>
        </w:trPr>
        <w:tc>
          <w:tcPr>
            <w:tcW w:w="1805" w:type="dxa"/>
            <w:vMerge/>
            <w:hideMark/>
          </w:tcPr>
          <w:p w14:paraId="500547DE" w14:textId="77777777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75A2FCF7" w14:textId="77777777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08CF9076" w14:textId="77777777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2" w:type="dxa"/>
            <w:vAlign w:val="center"/>
          </w:tcPr>
          <w:p w14:paraId="1DE5B4BE" w14:textId="63CFF863" w:rsidR="007F6F2D" w:rsidRPr="007F6F2D" w:rsidRDefault="00404F63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27</w:t>
            </w:r>
          </w:p>
        </w:tc>
        <w:tc>
          <w:tcPr>
            <w:tcW w:w="1125" w:type="dxa"/>
            <w:vAlign w:val="center"/>
          </w:tcPr>
          <w:p w14:paraId="1053A781" w14:textId="5B2700EA" w:rsidR="007F6F2D" w:rsidRPr="007F6F2D" w:rsidRDefault="00404F63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26</w:t>
            </w:r>
          </w:p>
        </w:tc>
        <w:tc>
          <w:tcPr>
            <w:tcW w:w="1125" w:type="dxa"/>
          </w:tcPr>
          <w:p w14:paraId="744DC877" w14:textId="2D0BDC48" w:rsidR="007F6F2D" w:rsidRPr="007F6F2D" w:rsidRDefault="007F6F2D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 w:rsidRPr="009A594E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  <w:tc>
          <w:tcPr>
            <w:tcW w:w="1124" w:type="dxa"/>
          </w:tcPr>
          <w:p w14:paraId="67107DCE" w14:textId="1E8860C1" w:rsidR="007F6F2D" w:rsidRPr="007F6F2D" w:rsidRDefault="007F6F2D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 w:rsidRPr="006F616D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</w:tr>
      <w:tr w:rsidR="007F6F2D" w:rsidRPr="00D03D96" w14:paraId="231EFA90" w14:textId="77777777" w:rsidTr="00F363C1">
        <w:trPr>
          <w:trHeight w:val="405"/>
        </w:trPr>
        <w:tc>
          <w:tcPr>
            <w:tcW w:w="1805" w:type="dxa"/>
            <w:vMerge w:val="restart"/>
            <w:hideMark/>
          </w:tcPr>
          <w:p w14:paraId="56930D7A" w14:textId="62759FD0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 až 4. roce studia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(součet 1., 2., 3. a 4. roku)</w:t>
            </w:r>
          </w:p>
        </w:tc>
        <w:tc>
          <w:tcPr>
            <w:tcW w:w="406" w:type="dxa"/>
            <w:vMerge w:val="restart"/>
            <w:textDirection w:val="btLr"/>
            <w:hideMark/>
          </w:tcPr>
          <w:p w14:paraId="6278F7EE" w14:textId="77777777" w:rsidR="007F6F2D" w:rsidRPr="00D03D96" w:rsidRDefault="007F6F2D" w:rsidP="007F6F2D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9" w:type="dxa"/>
            <w:hideMark/>
          </w:tcPr>
          <w:p w14:paraId="55CC53E7" w14:textId="77777777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2" w:type="dxa"/>
            <w:vAlign w:val="center"/>
          </w:tcPr>
          <w:p w14:paraId="1ABBBB15" w14:textId="642BE826" w:rsidR="007F6F2D" w:rsidRPr="007F6F2D" w:rsidRDefault="00FD555A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21</w:t>
            </w:r>
          </w:p>
        </w:tc>
        <w:tc>
          <w:tcPr>
            <w:tcW w:w="1125" w:type="dxa"/>
          </w:tcPr>
          <w:p w14:paraId="2F04D944" w14:textId="04C1D087" w:rsidR="007F6F2D" w:rsidRPr="007F6F2D" w:rsidRDefault="007F6F2D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 w:rsidRPr="00CD4DC6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  <w:tc>
          <w:tcPr>
            <w:tcW w:w="1125" w:type="dxa"/>
          </w:tcPr>
          <w:p w14:paraId="680FC7DD" w14:textId="3B0E7506" w:rsidR="007F6F2D" w:rsidRPr="007F6F2D" w:rsidRDefault="007F6F2D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 w:rsidRPr="009A594E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  <w:tc>
          <w:tcPr>
            <w:tcW w:w="1124" w:type="dxa"/>
          </w:tcPr>
          <w:p w14:paraId="40735209" w14:textId="70F487E7" w:rsidR="007F6F2D" w:rsidRPr="007F6F2D" w:rsidRDefault="007F6F2D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 w:rsidRPr="006F616D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</w:tr>
      <w:tr w:rsidR="007F6F2D" w:rsidRPr="00D03D96" w14:paraId="18E350D1" w14:textId="77777777" w:rsidTr="00F363C1">
        <w:trPr>
          <w:trHeight w:val="405"/>
        </w:trPr>
        <w:tc>
          <w:tcPr>
            <w:tcW w:w="1805" w:type="dxa"/>
            <w:vMerge/>
            <w:hideMark/>
          </w:tcPr>
          <w:p w14:paraId="767F313D" w14:textId="77777777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0890E394" w14:textId="77777777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39776654" w14:textId="77777777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2" w:type="dxa"/>
            <w:vAlign w:val="center"/>
          </w:tcPr>
          <w:p w14:paraId="349D7BE2" w14:textId="576417E6" w:rsidR="007F6F2D" w:rsidRPr="007F6F2D" w:rsidRDefault="00404F63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32</w:t>
            </w:r>
          </w:p>
        </w:tc>
        <w:tc>
          <w:tcPr>
            <w:tcW w:w="1125" w:type="dxa"/>
          </w:tcPr>
          <w:p w14:paraId="18A65F00" w14:textId="1A6973BB" w:rsidR="007F6F2D" w:rsidRPr="007F6F2D" w:rsidRDefault="007F6F2D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 w:rsidRPr="00CD4DC6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  <w:tc>
          <w:tcPr>
            <w:tcW w:w="1125" w:type="dxa"/>
          </w:tcPr>
          <w:p w14:paraId="41974AEE" w14:textId="34AC29DE" w:rsidR="007F6F2D" w:rsidRPr="007F6F2D" w:rsidRDefault="007F6F2D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 w:rsidRPr="009A594E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  <w:tc>
          <w:tcPr>
            <w:tcW w:w="1124" w:type="dxa"/>
          </w:tcPr>
          <w:p w14:paraId="642274AF" w14:textId="700EA72B" w:rsidR="007F6F2D" w:rsidRPr="007F6F2D" w:rsidRDefault="007F6F2D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 w:rsidRPr="006F616D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</w:tr>
      <w:tr w:rsidR="007F6F2D" w:rsidRPr="00D03D96" w14:paraId="28905BA1" w14:textId="77777777" w:rsidTr="00F363C1">
        <w:trPr>
          <w:trHeight w:val="405"/>
        </w:trPr>
        <w:tc>
          <w:tcPr>
            <w:tcW w:w="1805" w:type="dxa"/>
            <w:vMerge/>
            <w:hideMark/>
          </w:tcPr>
          <w:p w14:paraId="63A02356" w14:textId="77777777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11788A0A" w14:textId="77777777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58545568" w14:textId="77777777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2" w:type="dxa"/>
            <w:vAlign w:val="center"/>
          </w:tcPr>
          <w:p w14:paraId="365D6454" w14:textId="3700145C" w:rsidR="007F6F2D" w:rsidRPr="007F6F2D" w:rsidRDefault="00404F63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30</w:t>
            </w:r>
          </w:p>
        </w:tc>
        <w:tc>
          <w:tcPr>
            <w:tcW w:w="1125" w:type="dxa"/>
          </w:tcPr>
          <w:p w14:paraId="37DEB36C" w14:textId="5A89989C" w:rsidR="007F6F2D" w:rsidRPr="007F6F2D" w:rsidRDefault="007F6F2D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 w:rsidRPr="00CD4DC6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  <w:tc>
          <w:tcPr>
            <w:tcW w:w="1125" w:type="dxa"/>
          </w:tcPr>
          <w:p w14:paraId="759605F5" w14:textId="4BCEF673" w:rsidR="007F6F2D" w:rsidRPr="007F6F2D" w:rsidRDefault="007F6F2D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 w:rsidRPr="009A594E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  <w:tc>
          <w:tcPr>
            <w:tcW w:w="1124" w:type="dxa"/>
          </w:tcPr>
          <w:p w14:paraId="176F6C09" w14:textId="7D301F5E" w:rsidR="007F6F2D" w:rsidRPr="007F6F2D" w:rsidRDefault="007F6F2D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 w:rsidRPr="006F616D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</w:tr>
      <w:tr w:rsidR="007F6F2D" w:rsidRPr="00D03D96" w14:paraId="5373DE08" w14:textId="77777777" w:rsidTr="00F363C1">
        <w:trPr>
          <w:trHeight w:val="405"/>
        </w:trPr>
        <w:tc>
          <w:tcPr>
            <w:tcW w:w="1805" w:type="dxa"/>
            <w:vMerge w:val="restart"/>
            <w:hideMark/>
          </w:tcPr>
          <w:p w14:paraId="4517F878" w14:textId="2C3298A5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 až 5. roce studia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(součet 1., 2., 3., 4. a 5. roku)</w:t>
            </w:r>
          </w:p>
        </w:tc>
        <w:tc>
          <w:tcPr>
            <w:tcW w:w="406" w:type="dxa"/>
            <w:vMerge w:val="restart"/>
            <w:textDirection w:val="btLr"/>
            <w:hideMark/>
          </w:tcPr>
          <w:p w14:paraId="43A3EA49" w14:textId="77777777" w:rsidR="007F6F2D" w:rsidRPr="00D03D96" w:rsidRDefault="007F6F2D" w:rsidP="007F6F2D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9" w:type="dxa"/>
            <w:hideMark/>
          </w:tcPr>
          <w:p w14:paraId="025FD26F" w14:textId="77777777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2" w:type="dxa"/>
          </w:tcPr>
          <w:p w14:paraId="31188C9F" w14:textId="3689A61B" w:rsidR="007F6F2D" w:rsidRPr="007F6F2D" w:rsidRDefault="007F6F2D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 w:rsidRPr="00DE39CA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  <w:tc>
          <w:tcPr>
            <w:tcW w:w="1125" w:type="dxa"/>
          </w:tcPr>
          <w:p w14:paraId="15D76E42" w14:textId="6BB0840B" w:rsidR="007F6F2D" w:rsidRPr="007F6F2D" w:rsidRDefault="007F6F2D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 w:rsidRPr="00CD4DC6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  <w:tc>
          <w:tcPr>
            <w:tcW w:w="1125" w:type="dxa"/>
          </w:tcPr>
          <w:p w14:paraId="04AD90D4" w14:textId="5DD17A95" w:rsidR="007F6F2D" w:rsidRPr="007F6F2D" w:rsidRDefault="007F6F2D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 w:rsidRPr="009A594E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  <w:tc>
          <w:tcPr>
            <w:tcW w:w="1124" w:type="dxa"/>
          </w:tcPr>
          <w:p w14:paraId="1199C6FF" w14:textId="3A305801" w:rsidR="007F6F2D" w:rsidRPr="007F6F2D" w:rsidRDefault="007F6F2D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 w:rsidRPr="006F616D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</w:tr>
      <w:tr w:rsidR="007F6F2D" w:rsidRPr="00D03D96" w14:paraId="5896B118" w14:textId="77777777" w:rsidTr="00F363C1">
        <w:trPr>
          <w:trHeight w:val="405"/>
        </w:trPr>
        <w:tc>
          <w:tcPr>
            <w:tcW w:w="1805" w:type="dxa"/>
            <w:vMerge/>
            <w:hideMark/>
          </w:tcPr>
          <w:p w14:paraId="1F19B7FE" w14:textId="77777777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38B45202" w14:textId="77777777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78BADC2F" w14:textId="77777777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2" w:type="dxa"/>
          </w:tcPr>
          <w:p w14:paraId="339DDF86" w14:textId="59B638F7" w:rsidR="007F6F2D" w:rsidRPr="007F6F2D" w:rsidRDefault="007F6F2D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 w:rsidRPr="00DE39CA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  <w:tc>
          <w:tcPr>
            <w:tcW w:w="1125" w:type="dxa"/>
          </w:tcPr>
          <w:p w14:paraId="4A94F99C" w14:textId="6DC67EFF" w:rsidR="007F6F2D" w:rsidRPr="007F6F2D" w:rsidRDefault="007F6F2D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 w:rsidRPr="00CD4DC6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  <w:tc>
          <w:tcPr>
            <w:tcW w:w="1125" w:type="dxa"/>
          </w:tcPr>
          <w:p w14:paraId="5038BF05" w14:textId="48589A0B" w:rsidR="007F6F2D" w:rsidRPr="007F6F2D" w:rsidRDefault="007F6F2D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 w:rsidRPr="009A594E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  <w:tc>
          <w:tcPr>
            <w:tcW w:w="1124" w:type="dxa"/>
          </w:tcPr>
          <w:p w14:paraId="2C050B7E" w14:textId="6BACE5C5" w:rsidR="007F6F2D" w:rsidRPr="007F6F2D" w:rsidRDefault="007F6F2D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 w:rsidRPr="006F616D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</w:tr>
      <w:tr w:rsidR="007F6F2D" w:rsidRPr="00D03D96" w14:paraId="1FC998D7" w14:textId="77777777" w:rsidTr="00F363C1">
        <w:trPr>
          <w:trHeight w:val="405"/>
        </w:trPr>
        <w:tc>
          <w:tcPr>
            <w:tcW w:w="1805" w:type="dxa"/>
            <w:vMerge/>
            <w:hideMark/>
          </w:tcPr>
          <w:p w14:paraId="2814DB22" w14:textId="77777777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43277307" w14:textId="77777777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5B74BEEA" w14:textId="77777777" w:rsidR="007F6F2D" w:rsidRPr="00D03D96" w:rsidRDefault="007F6F2D" w:rsidP="007F6F2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2" w:type="dxa"/>
          </w:tcPr>
          <w:p w14:paraId="28CCFC03" w14:textId="3EB44FCB" w:rsidR="007F6F2D" w:rsidRPr="007F6F2D" w:rsidRDefault="007F6F2D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 w:rsidRPr="00DE39CA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  <w:tc>
          <w:tcPr>
            <w:tcW w:w="1125" w:type="dxa"/>
          </w:tcPr>
          <w:p w14:paraId="5AECD33C" w14:textId="7302F724" w:rsidR="007F6F2D" w:rsidRPr="007F6F2D" w:rsidRDefault="007F6F2D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 w:rsidRPr="00CD4DC6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  <w:tc>
          <w:tcPr>
            <w:tcW w:w="1125" w:type="dxa"/>
          </w:tcPr>
          <w:p w14:paraId="4A707DF6" w14:textId="0A1A71C4" w:rsidR="007F6F2D" w:rsidRPr="007F6F2D" w:rsidRDefault="007F6F2D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 w:rsidRPr="009A594E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  <w:tc>
          <w:tcPr>
            <w:tcW w:w="1124" w:type="dxa"/>
          </w:tcPr>
          <w:p w14:paraId="589D260D" w14:textId="62F79460" w:rsidR="007F6F2D" w:rsidRPr="007F6F2D" w:rsidRDefault="007F6F2D" w:rsidP="007F6F2D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 w:rsidRPr="006F616D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</w:tr>
    </w:tbl>
    <w:p w14:paraId="6E2DCC11" w14:textId="40255D8F" w:rsidR="00BE0780" w:rsidRDefault="00BE0780" w:rsidP="00986A97">
      <w:pPr>
        <w:rPr>
          <w:sz w:val="16"/>
          <w:szCs w:val="16"/>
        </w:rPr>
      </w:pPr>
      <w:r>
        <w:rPr>
          <w:sz w:val="16"/>
          <w:szCs w:val="16"/>
        </w:rPr>
        <w:t xml:space="preserve">Poznámka: </w:t>
      </w:r>
      <w:r w:rsidR="00B60471" w:rsidRPr="00B60471">
        <w:rPr>
          <w:sz w:val="16"/>
          <w:szCs w:val="16"/>
        </w:rPr>
        <w:t xml:space="preserve">data </w:t>
      </w:r>
      <w:r w:rsidR="00B60471">
        <w:rPr>
          <w:sz w:val="16"/>
          <w:szCs w:val="16"/>
        </w:rPr>
        <w:t xml:space="preserve">čerpat </w:t>
      </w:r>
      <w:r w:rsidR="00B60471" w:rsidRPr="00B60471">
        <w:rPr>
          <w:sz w:val="16"/>
          <w:szCs w:val="16"/>
        </w:rPr>
        <w:t xml:space="preserve">z Portálu, </w:t>
      </w:r>
      <w:r w:rsidR="00DE6FBD">
        <w:rPr>
          <w:sz w:val="16"/>
          <w:szCs w:val="16"/>
        </w:rPr>
        <w:t xml:space="preserve">záložky IS/STAG, </w:t>
      </w:r>
      <w:r w:rsidR="00B60471" w:rsidRPr="00B60471">
        <w:rPr>
          <w:sz w:val="16"/>
          <w:szCs w:val="16"/>
        </w:rPr>
        <w:t xml:space="preserve">tabulky – Prostupnost studiem. </w:t>
      </w:r>
      <w:r w:rsidR="00B60471">
        <w:rPr>
          <w:sz w:val="16"/>
          <w:szCs w:val="16"/>
        </w:rPr>
        <w:t>P</w:t>
      </w:r>
      <w:r w:rsidR="00B60471" w:rsidRPr="00B60471">
        <w:rPr>
          <w:sz w:val="16"/>
          <w:szCs w:val="16"/>
        </w:rPr>
        <w:t>oužívat data bez 0 ročníku (= ti studenti, kteří se zapsali do studia, ale zanechali ještě před zápisem do matriky, tj. do 31.10.)</w:t>
      </w:r>
      <w:r w:rsidR="00B60471">
        <w:rPr>
          <w:sz w:val="16"/>
          <w:szCs w:val="16"/>
        </w:rPr>
        <w:t>. Kumulativní počty.</w:t>
      </w:r>
      <w:r w:rsidR="00DE6FBD">
        <w:rPr>
          <w:sz w:val="16"/>
          <w:szCs w:val="16"/>
        </w:rPr>
        <w:t xml:space="preserve"> </w:t>
      </w:r>
      <w:r w:rsidR="00DE6FBD" w:rsidRPr="00DE6FBD">
        <w:rPr>
          <w:sz w:val="16"/>
          <w:szCs w:val="16"/>
        </w:rPr>
        <w:t>Při výpočtu je ve jmenovateli vždy použita hodnota počtu zapsaných studentů do 1. ročníku.</w:t>
      </w:r>
    </w:p>
    <w:p w14:paraId="6096714B" w14:textId="72F9A4A2" w:rsidR="00986A97" w:rsidRDefault="00E4296B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A</w:t>
      </w:r>
      <w:r>
        <w:rPr>
          <w:sz w:val="16"/>
          <w:szCs w:val="16"/>
          <w:vertAlign w:val="subscript"/>
        </w:rPr>
        <w:t>9</w:t>
      </w:r>
      <w:r w:rsidR="00986A97">
        <w:rPr>
          <w:sz w:val="16"/>
          <w:szCs w:val="16"/>
        </w:rPr>
        <w:t xml:space="preserve"> ZV</w:t>
      </w:r>
      <w:r w:rsidR="00986A97">
        <w:rPr>
          <w:rFonts w:cs="Arial"/>
          <w:sz w:val="16"/>
          <w:szCs w:val="16"/>
        </w:rPr>
        <w:t>H UTB.</w:t>
      </w:r>
    </w:p>
    <w:p w14:paraId="587839C1" w14:textId="41722E63" w:rsidR="004835DA" w:rsidRDefault="004835DA" w:rsidP="00262FEA">
      <w:pPr>
        <w:pStyle w:val="Bezmezer"/>
        <w:ind w:right="283"/>
        <w:rPr>
          <w:rFonts w:cs="Arial"/>
          <w:color w:val="7030A0"/>
          <w:sz w:val="32"/>
          <w:szCs w:val="32"/>
        </w:rPr>
      </w:pPr>
    </w:p>
    <w:p w14:paraId="40E13790" w14:textId="1E596F6F" w:rsidR="0046767D" w:rsidRPr="00691411" w:rsidRDefault="0046767D" w:rsidP="0046767D">
      <w:pPr>
        <w:pStyle w:val="Bezmezer"/>
        <w:ind w:right="283"/>
        <w:rPr>
          <w:rFonts w:cs="Arial"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t>7a) Míra řádného ukončování studia</w:t>
      </w:r>
      <w:r w:rsidRPr="00691411">
        <w:rPr>
          <w:rFonts w:cs="Arial"/>
          <w:color w:val="C45911" w:themeColor="accent2" w:themeShade="BF"/>
          <w:sz w:val="32"/>
          <w:szCs w:val="32"/>
        </w:rPr>
        <w:t xml:space="preserve"> </w:t>
      </w:r>
    </w:p>
    <w:p w14:paraId="7E2B2CD5" w14:textId="77777777" w:rsidR="00E73555" w:rsidRDefault="00E73555" w:rsidP="00262FEA">
      <w:pPr>
        <w:pStyle w:val="Bezmezer"/>
        <w:ind w:right="283"/>
        <w:rPr>
          <w:rFonts w:ascii="Arial" w:hAnsi="Arial" w:cs="Arial"/>
          <w:color w:val="000000" w:themeColor="text1"/>
          <w:sz w:val="20"/>
        </w:rPr>
      </w:pPr>
    </w:p>
    <w:tbl>
      <w:tblPr>
        <w:tblStyle w:val="Mkatabulky"/>
        <w:tblW w:w="9106" w:type="dxa"/>
        <w:tblLook w:val="04A0" w:firstRow="1" w:lastRow="0" w:firstColumn="1" w:lastColumn="0" w:noHBand="0" w:noVBand="1"/>
      </w:tblPr>
      <w:tblGrid>
        <w:gridCol w:w="1867"/>
        <w:gridCol w:w="1057"/>
        <w:gridCol w:w="1367"/>
        <w:gridCol w:w="1106"/>
        <w:gridCol w:w="1106"/>
        <w:gridCol w:w="995"/>
        <w:gridCol w:w="1608"/>
      </w:tblGrid>
      <w:tr w:rsidR="00F94840" w:rsidRPr="00D03D96" w14:paraId="73FDC665" w14:textId="77777777" w:rsidTr="00160D7F">
        <w:trPr>
          <w:trHeight w:val="397"/>
        </w:trPr>
        <w:tc>
          <w:tcPr>
            <w:tcW w:w="4291" w:type="dxa"/>
            <w:gridSpan w:val="3"/>
            <w:shd w:val="clear" w:color="auto" w:fill="F7CAAC" w:themeFill="accent2" w:themeFillTint="66"/>
            <w:hideMark/>
          </w:tcPr>
          <w:p w14:paraId="0F0D4198" w14:textId="289930BB" w:rsidR="00F94840" w:rsidRPr="00D03D96" w:rsidRDefault="00F94840" w:rsidP="00F94840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Míra řádného ukončování studia</w:t>
            </w: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v %</w:t>
            </w: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1)</w:t>
            </w:r>
          </w:p>
        </w:tc>
        <w:tc>
          <w:tcPr>
            <w:tcW w:w="1106" w:type="dxa"/>
            <w:shd w:val="clear" w:color="auto" w:fill="F7CAAC" w:themeFill="accent2" w:themeFillTint="66"/>
            <w:hideMark/>
          </w:tcPr>
          <w:p w14:paraId="0A9A0B2F" w14:textId="65808FBC" w:rsidR="00F94840" w:rsidRPr="00D03D96" w:rsidRDefault="00F94840" w:rsidP="00F94840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2020/2021</w:t>
            </w:r>
          </w:p>
        </w:tc>
        <w:tc>
          <w:tcPr>
            <w:tcW w:w="1106" w:type="dxa"/>
            <w:shd w:val="clear" w:color="auto" w:fill="F7CAAC" w:themeFill="accent2" w:themeFillTint="66"/>
            <w:hideMark/>
          </w:tcPr>
          <w:p w14:paraId="52ABCEEF" w14:textId="5D23FC97" w:rsidR="00F94840" w:rsidRPr="00D03D96" w:rsidRDefault="00F94840" w:rsidP="00F94840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2021/2022</w:t>
            </w:r>
          </w:p>
        </w:tc>
        <w:tc>
          <w:tcPr>
            <w:tcW w:w="995" w:type="dxa"/>
            <w:shd w:val="clear" w:color="auto" w:fill="F7CAAC" w:themeFill="accent2" w:themeFillTint="66"/>
            <w:hideMark/>
          </w:tcPr>
          <w:p w14:paraId="242E7DE5" w14:textId="7561BF12" w:rsidR="00F94840" w:rsidRPr="00D03D96" w:rsidRDefault="00F94840" w:rsidP="00F94840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2022/2023</w:t>
            </w:r>
          </w:p>
        </w:tc>
        <w:tc>
          <w:tcPr>
            <w:tcW w:w="1608" w:type="dxa"/>
            <w:shd w:val="clear" w:color="auto" w:fill="F7CAAC" w:themeFill="accent2" w:themeFillTint="66"/>
            <w:hideMark/>
          </w:tcPr>
          <w:p w14:paraId="26A07037" w14:textId="158A141F" w:rsidR="00F94840" w:rsidRPr="00D03D96" w:rsidRDefault="00F94840" w:rsidP="00F94840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2023/2024</w:t>
            </w:r>
          </w:p>
        </w:tc>
      </w:tr>
      <w:tr w:rsidR="00F94840" w:rsidRPr="00D03D96" w14:paraId="1370517E" w14:textId="77777777" w:rsidTr="00865B13">
        <w:trPr>
          <w:trHeight w:val="397"/>
        </w:trPr>
        <w:tc>
          <w:tcPr>
            <w:tcW w:w="1867" w:type="dxa"/>
            <w:vMerge w:val="restart"/>
            <w:hideMark/>
          </w:tcPr>
          <w:p w14:paraId="69B0F76A" w14:textId="25DD3E7C" w:rsidR="00F94840" w:rsidRPr="00D03D96" w:rsidRDefault="00F94840" w:rsidP="00F9484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řádné ukončování studia ve stand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ardní době, bez přerušení studií</w:t>
            </w:r>
          </w:p>
        </w:tc>
        <w:tc>
          <w:tcPr>
            <w:tcW w:w="1057" w:type="dxa"/>
            <w:vMerge w:val="restart"/>
            <w:textDirection w:val="btLr"/>
            <w:hideMark/>
          </w:tcPr>
          <w:p w14:paraId="45109EE9" w14:textId="77777777" w:rsidR="00F94840" w:rsidRPr="00D03D96" w:rsidRDefault="00F94840" w:rsidP="00F9484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1367" w:type="dxa"/>
            <w:hideMark/>
          </w:tcPr>
          <w:p w14:paraId="29AD1EB9" w14:textId="77777777" w:rsidR="00F94840" w:rsidRPr="00D03D96" w:rsidRDefault="00F94840" w:rsidP="00F9484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106" w:type="dxa"/>
            <w:vAlign w:val="center"/>
            <w:hideMark/>
          </w:tcPr>
          <w:p w14:paraId="71805D05" w14:textId="2FA965B3" w:rsidR="00F94840" w:rsidRPr="00D03D96" w:rsidRDefault="00C445C2" w:rsidP="00865B1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68</w:t>
            </w:r>
          </w:p>
        </w:tc>
        <w:tc>
          <w:tcPr>
            <w:tcW w:w="1106" w:type="dxa"/>
            <w:vAlign w:val="center"/>
            <w:hideMark/>
          </w:tcPr>
          <w:p w14:paraId="647D8366" w14:textId="6E8BF568" w:rsidR="00F94840" w:rsidRPr="00D03D96" w:rsidRDefault="00C445C2" w:rsidP="00865B1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63</w:t>
            </w:r>
          </w:p>
        </w:tc>
        <w:tc>
          <w:tcPr>
            <w:tcW w:w="995" w:type="dxa"/>
            <w:vAlign w:val="center"/>
            <w:hideMark/>
          </w:tcPr>
          <w:p w14:paraId="3E26C030" w14:textId="398ABC55" w:rsidR="00F94840" w:rsidRPr="00D03D96" w:rsidRDefault="00C445C2" w:rsidP="00865B1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</w:t>
            </w:r>
          </w:p>
        </w:tc>
        <w:tc>
          <w:tcPr>
            <w:tcW w:w="1608" w:type="dxa"/>
            <w:vAlign w:val="center"/>
            <w:hideMark/>
          </w:tcPr>
          <w:p w14:paraId="6FA7CCFF" w14:textId="1A67C8DF" w:rsidR="00F94840" w:rsidRPr="00D03D96" w:rsidRDefault="00C445C2" w:rsidP="00865B1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37</w:t>
            </w:r>
          </w:p>
        </w:tc>
      </w:tr>
      <w:tr w:rsidR="00F94840" w:rsidRPr="00D03D96" w14:paraId="57DACA33" w14:textId="77777777" w:rsidTr="00865B13">
        <w:trPr>
          <w:trHeight w:val="397"/>
        </w:trPr>
        <w:tc>
          <w:tcPr>
            <w:tcW w:w="1867" w:type="dxa"/>
            <w:vMerge/>
            <w:hideMark/>
          </w:tcPr>
          <w:p w14:paraId="56F3162E" w14:textId="77777777" w:rsidR="00F94840" w:rsidRPr="00D03D96" w:rsidRDefault="00F94840" w:rsidP="00F9484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46A6C085" w14:textId="77777777" w:rsidR="00F94840" w:rsidRPr="00D03D96" w:rsidRDefault="00F94840" w:rsidP="00F9484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0634980B" w14:textId="77777777" w:rsidR="00F94840" w:rsidRPr="00D03D96" w:rsidRDefault="00F94840" w:rsidP="00F9484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106" w:type="dxa"/>
            <w:vAlign w:val="center"/>
            <w:hideMark/>
          </w:tcPr>
          <w:p w14:paraId="2AB99CCA" w14:textId="129BC901" w:rsidR="00F94840" w:rsidRPr="00D03D96" w:rsidRDefault="005E382C" w:rsidP="00865B1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46</w:t>
            </w:r>
          </w:p>
        </w:tc>
        <w:tc>
          <w:tcPr>
            <w:tcW w:w="1106" w:type="dxa"/>
            <w:vAlign w:val="center"/>
            <w:hideMark/>
          </w:tcPr>
          <w:p w14:paraId="2DC0AD1A" w14:textId="3A272871" w:rsidR="00F94840" w:rsidRPr="00D03D96" w:rsidRDefault="005E382C" w:rsidP="00865B1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63</w:t>
            </w:r>
          </w:p>
        </w:tc>
        <w:tc>
          <w:tcPr>
            <w:tcW w:w="995" w:type="dxa"/>
            <w:vAlign w:val="center"/>
            <w:hideMark/>
          </w:tcPr>
          <w:p w14:paraId="53BD8F5E" w14:textId="1A91CB23" w:rsidR="00F94840" w:rsidRPr="00D03D96" w:rsidRDefault="0034488A" w:rsidP="00865B1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32</w:t>
            </w:r>
          </w:p>
        </w:tc>
        <w:tc>
          <w:tcPr>
            <w:tcW w:w="1608" w:type="dxa"/>
            <w:vAlign w:val="center"/>
            <w:hideMark/>
          </w:tcPr>
          <w:p w14:paraId="2A31E995" w14:textId="662AB310" w:rsidR="00F94840" w:rsidRPr="00D03D96" w:rsidRDefault="0034488A" w:rsidP="00865B1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50</w:t>
            </w:r>
          </w:p>
        </w:tc>
      </w:tr>
      <w:tr w:rsidR="00F94840" w:rsidRPr="00D03D96" w14:paraId="4CDEA87B" w14:textId="77777777" w:rsidTr="00865B13">
        <w:trPr>
          <w:trHeight w:val="397"/>
        </w:trPr>
        <w:tc>
          <w:tcPr>
            <w:tcW w:w="1867" w:type="dxa"/>
            <w:vMerge/>
            <w:hideMark/>
          </w:tcPr>
          <w:p w14:paraId="7F8BF4E5" w14:textId="77777777" w:rsidR="00F94840" w:rsidRPr="00D03D96" w:rsidRDefault="00F94840" w:rsidP="00F9484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373EE463" w14:textId="77777777" w:rsidR="00F94840" w:rsidRPr="00D03D96" w:rsidRDefault="00F94840" w:rsidP="00F9484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02CC72B9" w14:textId="77777777" w:rsidR="00F94840" w:rsidRPr="00D03D96" w:rsidRDefault="00F94840" w:rsidP="00F9484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106" w:type="dxa"/>
            <w:vAlign w:val="center"/>
            <w:hideMark/>
          </w:tcPr>
          <w:p w14:paraId="7859E4FE" w14:textId="367BDF64" w:rsidR="00F94840" w:rsidRPr="00D03D96" w:rsidRDefault="005E382C" w:rsidP="00865B1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58</w:t>
            </w:r>
          </w:p>
        </w:tc>
        <w:tc>
          <w:tcPr>
            <w:tcW w:w="1106" w:type="dxa"/>
            <w:vAlign w:val="center"/>
            <w:hideMark/>
          </w:tcPr>
          <w:p w14:paraId="2BB2D08C" w14:textId="507B54C2" w:rsidR="00F94840" w:rsidRPr="00D03D96" w:rsidRDefault="005E382C" w:rsidP="00865B1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</w:t>
            </w:r>
            <w:r w:rsidR="003448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995" w:type="dxa"/>
            <w:vAlign w:val="center"/>
            <w:hideMark/>
          </w:tcPr>
          <w:p w14:paraId="05F76766" w14:textId="0F24533E" w:rsidR="00F94840" w:rsidRPr="00D03D96" w:rsidRDefault="0034488A" w:rsidP="00865B1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42</w:t>
            </w:r>
          </w:p>
        </w:tc>
        <w:tc>
          <w:tcPr>
            <w:tcW w:w="1608" w:type="dxa"/>
            <w:vAlign w:val="center"/>
            <w:hideMark/>
          </w:tcPr>
          <w:p w14:paraId="7F46740A" w14:textId="7F9A309C" w:rsidR="00F94840" w:rsidRPr="00D03D96" w:rsidRDefault="0034488A" w:rsidP="00865B1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43</w:t>
            </w:r>
          </w:p>
        </w:tc>
      </w:tr>
      <w:tr w:rsidR="004D2B1E" w:rsidRPr="00D03D96" w14:paraId="3141B266" w14:textId="77777777" w:rsidTr="00421BBC">
        <w:trPr>
          <w:trHeight w:val="397"/>
        </w:trPr>
        <w:tc>
          <w:tcPr>
            <w:tcW w:w="1867" w:type="dxa"/>
            <w:vMerge w:val="restart"/>
            <w:hideMark/>
          </w:tcPr>
          <w:p w14:paraId="14F25279" w14:textId="0714808C" w:rsidR="004D2B1E" w:rsidRPr="00D03D96" w:rsidRDefault="004D2B1E" w:rsidP="004D2B1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řádné ukončování studia ve standardní době + 1 rok</w:t>
            </w:r>
          </w:p>
        </w:tc>
        <w:tc>
          <w:tcPr>
            <w:tcW w:w="1057" w:type="dxa"/>
            <w:vMerge w:val="restart"/>
            <w:textDirection w:val="btLr"/>
            <w:hideMark/>
          </w:tcPr>
          <w:p w14:paraId="2F52B2FE" w14:textId="77777777" w:rsidR="004D2B1E" w:rsidRPr="00D03D96" w:rsidRDefault="004D2B1E" w:rsidP="004D2B1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1367" w:type="dxa"/>
            <w:hideMark/>
          </w:tcPr>
          <w:p w14:paraId="12A9753F" w14:textId="77777777" w:rsidR="004D2B1E" w:rsidRPr="00D03D96" w:rsidRDefault="004D2B1E" w:rsidP="004D2B1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106" w:type="dxa"/>
            <w:vAlign w:val="center"/>
            <w:hideMark/>
          </w:tcPr>
          <w:p w14:paraId="0A03A37E" w14:textId="3D39E0E4" w:rsidR="004D2B1E" w:rsidRPr="00D03D96" w:rsidRDefault="004D2B1E" w:rsidP="004D2B1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71</w:t>
            </w:r>
          </w:p>
        </w:tc>
        <w:tc>
          <w:tcPr>
            <w:tcW w:w="1106" w:type="dxa"/>
            <w:vAlign w:val="center"/>
            <w:hideMark/>
          </w:tcPr>
          <w:p w14:paraId="48A3D5B1" w14:textId="26FF9E6C" w:rsidR="004D2B1E" w:rsidRPr="00D03D96" w:rsidRDefault="004D2B1E" w:rsidP="004D2B1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65</w:t>
            </w:r>
          </w:p>
        </w:tc>
        <w:tc>
          <w:tcPr>
            <w:tcW w:w="995" w:type="dxa"/>
            <w:vAlign w:val="center"/>
            <w:hideMark/>
          </w:tcPr>
          <w:p w14:paraId="5049B4A0" w14:textId="5947CEA0" w:rsidR="004D2B1E" w:rsidRPr="00D03D96" w:rsidRDefault="004D2B1E" w:rsidP="004D2B1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60</w:t>
            </w:r>
          </w:p>
        </w:tc>
        <w:tc>
          <w:tcPr>
            <w:tcW w:w="1608" w:type="dxa"/>
            <w:hideMark/>
          </w:tcPr>
          <w:p w14:paraId="36A34959" w14:textId="09C614C6" w:rsidR="004D2B1E" w:rsidRPr="00D03D96" w:rsidRDefault="004D2B1E" w:rsidP="004D2B1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F616D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</w:tr>
      <w:tr w:rsidR="004D2B1E" w:rsidRPr="00D03D96" w14:paraId="24199E94" w14:textId="77777777" w:rsidTr="00421BBC">
        <w:trPr>
          <w:trHeight w:val="397"/>
        </w:trPr>
        <w:tc>
          <w:tcPr>
            <w:tcW w:w="1867" w:type="dxa"/>
            <w:vMerge/>
            <w:hideMark/>
          </w:tcPr>
          <w:p w14:paraId="4065CF71" w14:textId="77777777" w:rsidR="004D2B1E" w:rsidRPr="00D03D96" w:rsidRDefault="004D2B1E" w:rsidP="004D2B1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1CD3FA78" w14:textId="77777777" w:rsidR="004D2B1E" w:rsidRPr="00D03D96" w:rsidRDefault="004D2B1E" w:rsidP="004D2B1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0B3C8DF6" w14:textId="77777777" w:rsidR="004D2B1E" w:rsidRPr="00D03D96" w:rsidRDefault="004D2B1E" w:rsidP="004D2B1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106" w:type="dxa"/>
            <w:vAlign w:val="center"/>
            <w:hideMark/>
          </w:tcPr>
          <w:p w14:paraId="2D1ECAF8" w14:textId="65B14768" w:rsidR="004D2B1E" w:rsidRPr="00D03D96" w:rsidRDefault="004D2B1E" w:rsidP="004D2B1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56</w:t>
            </w:r>
          </w:p>
        </w:tc>
        <w:tc>
          <w:tcPr>
            <w:tcW w:w="1106" w:type="dxa"/>
            <w:vAlign w:val="center"/>
            <w:hideMark/>
          </w:tcPr>
          <w:p w14:paraId="115D5334" w14:textId="62FF4488" w:rsidR="004D2B1E" w:rsidRPr="00D03D96" w:rsidRDefault="004D2B1E" w:rsidP="004D2B1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67</w:t>
            </w:r>
          </w:p>
        </w:tc>
        <w:tc>
          <w:tcPr>
            <w:tcW w:w="995" w:type="dxa"/>
            <w:vAlign w:val="center"/>
            <w:hideMark/>
          </w:tcPr>
          <w:p w14:paraId="444DB3D4" w14:textId="32CEB701" w:rsidR="004D2B1E" w:rsidRPr="00D03D96" w:rsidRDefault="004D2B1E" w:rsidP="004D2B1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36</w:t>
            </w:r>
          </w:p>
        </w:tc>
        <w:tc>
          <w:tcPr>
            <w:tcW w:w="1608" w:type="dxa"/>
            <w:hideMark/>
          </w:tcPr>
          <w:p w14:paraId="73F89FDC" w14:textId="1718B326" w:rsidR="004D2B1E" w:rsidRPr="00D03D96" w:rsidRDefault="004D2B1E" w:rsidP="004D2B1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F616D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</w:tr>
      <w:tr w:rsidR="004D2B1E" w:rsidRPr="00D03D96" w14:paraId="1A19CC6D" w14:textId="77777777" w:rsidTr="00421BBC">
        <w:trPr>
          <w:trHeight w:val="397"/>
        </w:trPr>
        <w:tc>
          <w:tcPr>
            <w:tcW w:w="1867" w:type="dxa"/>
            <w:vMerge/>
            <w:hideMark/>
          </w:tcPr>
          <w:p w14:paraId="05E55DB9" w14:textId="77777777" w:rsidR="004D2B1E" w:rsidRPr="00D03D96" w:rsidRDefault="004D2B1E" w:rsidP="004D2B1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4B494066" w14:textId="77777777" w:rsidR="004D2B1E" w:rsidRPr="00D03D96" w:rsidRDefault="004D2B1E" w:rsidP="004D2B1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543859C0" w14:textId="77777777" w:rsidR="004D2B1E" w:rsidRPr="00D03D96" w:rsidRDefault="004D2B1E" w:rsidP="004D2B1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106" w:type="dxa"/>
            <w:vAlign w:val="center"/>
            <w:hideMark/>
          </w:tcPr>
          <w:p w14:paraId="10D80CA5" w14:textId="45F2A7BB" w:rsidR="004D2B1E" w:rsidRPr="00D03D96" w:rsidRDefault="004D2B1E" w:rsidP="004D2B1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64</w:t>
            </w:r>
          </w:p>
        </w:tc>
        <w:tc>
          <w:tcPr>
            <w:tcW w:w="1106" w:type="dxa"/>
            <w:vAlign w:val="center"/>
            <w:hideMark/>
          </w:tcPr>
          <w:p w14:paraId="4B69CD03" w14:textId="71E6646B" w:rsidR="004D2B1E" w:rsidRPr="00D03D96" w:rsidRDefault="004D2B1E" w:rsidP="004D2B1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66</w:t>
            </w:r>
          </w:p>
        </w:tc>
        <w:tc>
          <w:tcPr>
            <w:tcW w:w="995" w:type="dxa"/>
            <w:vAlign w:val="center"/>
            <w:hideMark/>
          </w:tcPr>
          <w:p w14:paraId="34EAD956" w14:textId="3F4F63E6" w:rsidR="004D2B1E" w:rsidRPr="00D03D96" w:rsidRDefault="004D2B1E" w:rsidP="004D2B1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48</w:t>
            </w:r>
          </w:p>
        </w:tc>
        <w:tc>
          <w:tcPr>
            <w:tcW w:w="1608" w:type="dxa"/>
            <w:hideMark/>
          </w:tcPr>
          <w:p w14:paraId="30A08BA3" w14:textId="18528C31" w:rsidR="004D2B1E" w:rsidRPr="00D03D96" w:rsidRDefault="004D2B1E" w:rsidP="004D2B1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F616D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</w:tr>
      <w:tr w:rsidR="004D2B1E" w:rsidRPr="00D03D96" w14:paraId="32E2EE7F" w14:textId="77777777" w:rsidTr="00421BBC">
        <w:trPr>
          <w:trHeight w:val="397"/>
        </w:trPr>
        <w:tc>
          <w:tcPr>
            <w:tcW w:w="1867" w:type="dxa"/>
            <w:vMerge w:val="restart"/>
            <w:hideMark/>
          </w:tcPr>
          <w:p w14:paraId="6AC42DC3" w14:textId="4F1EB99A" w:rsidR="004D2B1E" w:rsidRPr="00D03D96" w:rsidRDefault="004D2B1E" w:rsidP="004D2B1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řádné ukončování studia ve standardní době + 2 roky</w:t>
            </w:r>
          </w:p>
        </w:tc>
        <w:tc>
          <w:tcPr>
            <w:tcW w:w="1057" w:type="dxa"/>
            <w:vMerge w:val="restart"/>
            <w:textDirection w:val="btLr"/>
            <w:hideMark/>
          </w:tcPr>
          <w:p w14:paraId="031C8C94" w14:textId="77777777" w:rsidR="004D2B1E" w:rsidRPr="00D03D96" w:rsidRDefault="004D2B1E" w:rsidP="004D2B1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1367" w:type="dxa"/>
            <w:hideMark/>
          </w:tcPr>
          <w:p w14:paraId="7949AB1B" w14:textId="77777777" w:rsidR="004D2B1E" w:rsidRPr="00D03D96" w:rsidRDefault="004D2B1E" w:rsidP="004D2B1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106" w:type="dxa"/>
            <w:vAlign w:val="center"/>
            <w:hideMark/>
          </w:tcPr>
          <w:p w14:paraId="1A36247F" w14:textId="63B853C8" w:rsidR="004D2B1E" w:rsidRPr="00D03D96" w:rsidRDefault="004D2B1E" w:rsidP="004D2B1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72</w:t>
            </w:r>
          </w:p>
        </w:tc>
        <w:tc>
          <w:tcPr>
            <w:tcW w:w="1106" w:type="dxa"/>
            <w:vAlign w:val="center"/>
            <w:hideMark/>
          </w:tcPr>
          <w:p w14:paraId="2A22E618" w14:textId="38BE38FF" w:rsidR="004D2B1E" w:rsidRPr="00D03D96" w:rsidRDefault="004D2B1E" w:rsidP="004D2B1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0</w:t>
            </w:r>
          </w:p>
        </w:tc>
        <w:tc>
          <w:tcPr>
            <w:tcW w:w="995" w:type="dxa"/>
            <w:hideMark/>
          </w:tcPr>
          <w:p w14:paraId="17E1E4E9" w14:textId="674ADF4B" w:rsidR="004D2B1E" w:rsidRPr="00D03D96" w:rsidRDefault="004D2B1E" w:rsidP="004D2B1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F616D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  <w:tc>
          <w:tcPr>
            <w:tcW w:w="1608" w:type="dxa"/>
            <w:hideMark/>
          </w:tcPr>
          <w:p w14:paraId="50178F57" w14:textId="6B04CB41" w:rsidR="004D2B1E" w:rsidRPr="00D03D96" w:rsidRDefault="004D2B1E" w:rsidP="004D2B1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F616D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</w:tr>
      <w:tr w:rsidR="004D2B1E" w:rsidRPr="00D03D96" w14:paraId="2A08611D" w14:textId="77777777" w:rsidTr="00421BBC">
        <w:trPr>
          <w:trHeight w:val="397"/>
        </w:trPr>
        <w:tc>
          <w:tcPr>
            <w:tcW w:w="1867" w:type="dxa"/>
            <w:vMerge/>
            <w:hideMark/>
          </w:tcPr>
          <w:p w14:paraId="46E45B92" w14:textId="77777777" w:rsidR="004D2B1E" w:rsidRPr="00D03D96" w:rsidRDefault="004D2B1E" w:rsidP="004D2B1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4199DD49" w14:textId="77777777" w:rsidR="004D2B1E" w:rsidRPr="00D03D96" w:rsidRDefault="004D2B1E" w:rsidP="004D2B1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46CB0CEA" w14:textId="77777777" w:rsidR="004D2B1E" w:rsidRPr="00D03D96" w:rsidRDefault="004D2B1E" w:rsidP="004D2B1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106" w:type="dxa"/>
            <w:vAlign w:val="center"/>
            <w:hideMark/>
          </w:tcPr>
          <w:p w14:paraId="76BB4D36" w14:textId="317308B5" w:rsidR="004D2B1E" w:rsidRPr="00D03D96" w:rsidRDefault="004D2B1E" w:rsidP="004D2B1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58</w:t>
            </w:r>
          </w:p>
        </w:tc>
        <w:tc>
          <w:tcPr>
            <w:tcW w:w="1106" w:type="dxa"/>
            <w:vAlign w:val="center"/>
            <w:hideMark/>
          </w:tcPr>
          <w:p w14:paraId="0A8E1984" w14:textId="50E2F738" w:rsidR="004D2B1E" w:rsidRPr="00D03D96" w:rsidRDefault="004D2B1E" w:rsidP="004D2B1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70</w:t>
            </w:r>
          </w:p>
        </w:tc>
        <w:tc>
          <w:tcPr>
            <w:tcW w:w="995" w:type="dxa"/>
            <w:hideMark/>
          </w:tcPr>
          <w:p w14:paraId="08758B0A" w14:textId="4BDC7F2B" w:rsidR="004D2B1E" w:rsidRPr="00D03D96" w:rsidRDefault="004D2B1E" w:rsidP="004D2B1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F616D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  <w:tc>
          <w:tcPr>
            <w:tcW w:w="1608" w:type="dxa"/>
            <w:hideMark/>
          </w:tcPr>
          <w:p w14:paraId="2063A6F2" w14:textId="54819951" w:rsidR="004D2B1E" w:rsidRPr="00D03D96" w:rsidRDefault="004D2B1E" w:rsidP="004D2B1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F616D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</w:tr>
      <w:tr w:rsidR="004D2B1E" w:rsidRPr="00D03D96" w14:paraId="49D2E983" w14:textId="77777777" w:rsidTr="00421BBC">
        <w:trPr>
          <w:trHeight w:val="397"/>
        </w:trPr>
        <w:tc>
          <w:tcPr>
            <w:tcW w:w="1867" w:type="dxa"/>
            <w:vMerge/>
            <w:hideMark/>
          </w:tcPr>
          <w:p w14:paraId="1E826F27" w14:textId="77777777" w:rsidR="004D2B1E" w:rsidRPr="00D03D96" w:rsidRDefault="004D2B1E" w:rsidP="004D2B1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0CEEE7F0" w14:textId="77777777" w:rsidR="004D2B1E" w:rsidRPr="00D03D96" w:rsidRDefault="004D2B1E" w:rsidP="004D2B1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4444A194" w14:textId="77777777" w:rsidR="004D2B1E" w:rsidRPr="00D03D96" w:rsidRDefault="004D2B1E" w:rsidP="004D2B1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106" w:type="dxa"/>
            <w:vAlign w:val="center"/>
            <w:hideMark/>
          </w:tcPr>
          <w:p w14:paraId="17F777DF" w14:textId="2521D48F" w:rsidR="004D2B1E" w:rsidRPr="00D03D96" w:rsidRDefault="004D2B1E" w:rsidP="004D2B1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65</w:t>
            </w:r>
          </w:p>
        </w:tc>
        <w:tc>
          <w:tcPr>
            <w:tcW w:w="1106" w:type="dxa"/>
            <w:vAlign w:val="center"/>
            <w:hideMark/>
          </w:tcPr>
          <w:p w14:paraId="0BBE55F8" w14:textId="57E90E65" w:rsidR="004D2B1E" w:rsidRPr="00D03D96" w:rsidRDefault="004D2B1E" w:rsidP="004D2B1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70</w:t>
            </w:r>
          </w:p>
        </w:tc>
        <w:tc>
          <w:tcPr>
            <w:tcW w:w="995" w:type="dxa"/>
            <w:hideMark/>
          </w:tcPr>
          <w:p w14:paraId="1FF4C82A" w14:textId="67736A11" w:rsidR="004D2B1E" w:rsidRPr="00D03D96" w:rsidRDefault="004D2B1E" w:rsidP="004D2B1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F616D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  <w:tc>
          <w:tcPr>
            <w:tcW w:w="1608" w:type="dxa"/>
            <w:hideMark/>
          </w:tcPr>
          <w:p w14:paraId="0CAFA829" w14:textId="560D7C48" w:rsidR="004D2B1E" w:rsidRPr="00D03D96" w:rsidRDefault="004D2B1E" w:rsidP="004D2B1E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F616D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_</w:t>
            </w:r>
          </w:p>
        </w:tc>
      </w:tr>
    </w:tbl>
    <w:p w14:paraId="7B25ABA2" w14:textId="05F0262A" w:rsidR="007F6624" w:rsidRDefault="007F6624" w:rsidP="00986A97">
      <w:pPr>
        <w:rPr>
          <w:sz w:val="16"/>
          <w:szCs w:val="16"/>
        </w:rPr>
      </w:pPr>
      <w:r>
        <w:rPr>
          <w:sz w:val="16"/>
          <w:szCs w:val="16"/>
        </w:rPr>
        <w:t xml:space="preserve">Poznámka: </w:t>
      </w:r>
      <w:r w:rsidRPr="00B60471">
        <w:rPr>
          <w:sz w:val="16"/>
          <w:szCs w:val="16"/>
        </w:rPr>
        <w:t xml:space="preserve">data </w:t>
      </w:r>
      <w:r>
        <w:rPr>
          <w:sz w:val="16"/>
          <w:szCs w:val="16"/>
        </w:rPr>
        <w:t xml:space="preserve">čerpat </w:t>
      </w:r>
      <w:r w:rsidRPr="00B60471">
        <w:rPr>
          <w:sz w:val="16"/>
          <w:szCs w:val="16"/>
        </w:rPr>
        <w:t xml:space="preserve">z Portálu, </w:t>
      </w:r>
      <w:r w:rsidR="00DE6FBD">
        <w:rPr>
          <w:sz w:val="16"/>
          <w:szCs w:val="16"/>
        </w:rPr>
        <w:t xml:space="preserve">záložky IS/STAG, </w:t>
      </w:r>
      <w:r w:rsidRPr="00B60471">
        <w:rPr>
          <w:sz w:val="16"/>
          <w:szCs w:val="16"/>
        </w:rPr>
        <w:t>tabulky – Prostupnost studiem.</w:t>
      </w:r>
    </w:p>
    <w:p w14:paraId="2F680FCB" w14:textId="64AA7A60" w:rsidR="00986A97" w:rsidRDefault="00986A97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 xml:space="preserve">Navazuje na indikátor </w:t>
      </w:r>
      <w:r w:rsidR="00E4296B">
        <w:rPr>
          <w:sz w:val="16"/>
          <w:szCs w:val="16"/>
        </w:rPr>
        <w:t>A</w:t>
      </w:r>
      <w:r w:rsidR="00E4296B">
        <w:rPr>
          <w:sz w:val="16"/>
          <w:szCs w:val="16"/>
          <w:vertAlign w:val="subscript"/>
        </w:rPr>
        <w:t>7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5B7C754B" w14:textId="2ABFF797" w:rsidR="00D03D96" w:rsidRDefault="00D03D96" w:rsidP="00986A97">
      <w:pPr>
        <w:spacing w:after="160" w:line="259" w:lineRule="auto"/>
        <w:rPr>
          <w:rFonts w:cs="Arial"/>
          <w:color w:val="000000" w:themeColor="text1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5C00BE" w:rsidRPr="0058573E" w14:paraId="132D210A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73F0E96F" w14:textId="77777777" w:rsidR="00B125F6" w:rsidRDefault="004F3D4B" w:rsidP="00B125F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Vyhodnocení</w:t>
            </w:r>
            <w:r w:rsidR="005B27B9">
              <w:rPr>
                <w:rFonts w:ascii="Arial" w:hAnsi="Arial" w:cs="Arial"/>
                <w:b/>
                <w:sz w:val="20"/>
              </w:rPr>
              <w:t xml:space="preserve"> </w:t>
            </w:r>
            <w:r w:rsidR="008554F2">
              <w:rPr>
                <w:rFonts w:ascii="Arial" w:hAnsi="Arial" w:cs="Arial"/>
                <w:b/>
                <w:sz w:val="20"/>
              </w:rPr>
              <w:t xml:space="preserve">míry </w:t>
            </w:r>
            <w:r w:rsidR="0011589C">
              <w:rPr>
                <w:rFonts w:ascii="Arial" w:hAnsi="Arial" w:cs="Arial"/>
                <w:b/>
                <w:sz w:val="20"/>
              </w:rPr>
              <w:t xml:space="preserve">neúspěšnosti </w:t>
            </w:r>
            <w:r w:rsidR="008554F2">
              <w:rPr>
                <w:rFonts w:ascii="Arial" w:hAnsi="Arial" w:cs="Arial"/>
                <w:b/>
                <w:sz w:val="20"/>
              </w:rPr>
              <w:t xml:space="preserve">ve studiu </w:t>
            </w:r>
            <w:r w:rsidR="0011589C">
              <w:rPr>
                <w:rFonts w:ascii="Arial" w:hAnsi="Arial" w:cs="Arial"/>
                <w:b/>
                <w:sz w:val="20"/>
              </w:rPr>
              <w:t xml:space="preserve">a </w:t>
            </w:r>
            <w:r w:rsidR="008554F2">
              <w:rPr>
                <w:rFonts w:ascii="Arial" w:hAnsi="Arial" w:cs="Arial"/>
                <w:b/>
                <w:sz w:val="20"/>
              </w:rPr>
              <w:t xml:space="preserve">míry </w:t>
            </w:r>
            <w:r w:rsidR="0011589C">
              <w:rPr>
                <w:rFonts w:ascii="Arial" w:hAnsi="Arial" w:cs="Arial"/>
                <w:b/>
                <w:sz w:val="20"/>
              </w:rPr>
              <w:t>řádného ukončování studia</w:t>
            </w:r>
            <w:r w:rsidR="00884D04"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59970F27" w14:textId="7C3840B4" w:rsidR="005C00BE" w:rsidRPr="00AC4575" w:rsidRDefault="00262FEA" w:rsidP="00B125F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popis závěrů vyvozených z dosahované míry studijní neúspěšnosti a míry řádného ukončování studia a popis opatření, která byla v reakci na tyto závěry přijata)</w:t>
            </w:r>
          </w:p>
        </w:tc>
      </w:tr>
      <w:tr w:rsidR="005C00BE" w:rsidRPr="0058573E" w14:paraId="0A83293E" w14:textId="77777777" w:rsidTr="00D03D96">
        <w:trPr>
          <w:trHeight w:val="2178"/>
        </w:trPr>
        <w:tc>
          <w:tcPr>
            <w:tcW w:w="9040" w:type="dxa"/>
          </w:tcPr>
          <w:p w14:paraId="45593641" w14:textId="6D9B7A01" w:rsidR="00F26E71" w:rsidRPr="0058573E" w:rsidRDefault="00F344B2" w:rsidP="00D079C4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Průměrná celková míra studijní neúspěšnosti v 1. ročníku za sledované období je 12,75 %. Nejvyšší nárůst studijní neúspěšnosti je v prvním ročníku, v dalších ročnících je studijní neúspěšnost n</w:t>
            </w:r>
            <w:r w:rsidR="000357FE">
              <w:rPr>
                <w:rFonts w:ascii="Arial" w:hAnsi="Arial" w:cs="Arial"/>
                <w:sz w:val="20"/>
              </w:rPr>
              <w:t>ízká</w:t>
            </w:r>
            <w:r>
              <w:rPr>
                <w:rFonts w:ascii="Arial" w:hAnsi="Arial" w:cs="Arial"/>
                <w:sz w:val="20"/>
              </w:rPr>
              <w:t xml:space="preserve">. </w:t>
            </w:r>
            <w:r w:rsidR="00BB4F5E">
              <w:rPr>
                <w:rFonts w:ascii="Arial" w:hAnsi="Arial" w:cs="Arial"/>
                <w:sz w:val="20"/>
              </w:rPr>
              <w:t>Z celkového počtu zapsaných studentů v prvních ročnících úspěšně absolvuje celé studium v průměru asi 61 % studentů</w:t>
            </w:r>
            <w:r w:rsidR="000357FE">
              <w:rPr>
                <w:rFonts w:ascii="Arial" w:hAnsi="Arial" w:cs="Arial"/>
                <w:sz w:val="20"/>
              </w:rPr>
              <w:t>. (</w:t>
            </w:r>
            <w:r w:rsidR="000357FE" w:rsidRPr="000357FE">
              <w:rPr>
                <w:rFonts w:ascii="Arial" w:hAnsi="Arial" w:cs="Arial"/>
                <w:i/>
                <w:sz w:val="20"/>
              </w:rPr>
              <w:t>Míra řádného ukončení studia není pro akademický rok 2023/2024 kompletní. V době realiza</w:t>
            </w:r>
            <w:r w:rsidR="00D079C4">
              <w:rPr>
                <w:rFonts w:ascii="Arial" w:hAnsi="Arial" w:cs="Arial"/>
                <w:i/>
                <w:sz w:val="20"/>
              </w:rPr>
              <w:t xml:space="preserve">ce této zprávy scházely údaje z </w:t>
            </w:r>
            <w:r w:rsidR="000357FE" w:rsidRPr="000357FE">
              <w:rPr>
                <w:rFonts w:ascii="Arial" w:hAnsi="Arial" w:cs="Arial"/>
                <w:i/>
                <w:sz w:val="20"/>
              </w:rPr>
              <w:t xml:space="preserve">mimořádných a opravných SZZ, </w:t>
            </w:r>
            <w:r w:rsidR="00D079C4">
              <w:rPr>
                <w:rFonts w:ascii="Arial" w:hAnsi="Arial" w:cs="Arial"/>
                <w:i/>
                <w:sz w:val="20"/>
              </w:rPr>
              <w:br/>
            </w:r>
            <w:r w:rsidR="000357FE" w:rsidRPr="000357FE">
              <w:rPr>
                <w:rFonts w:ascii="Arial" w:hAnsi="Arial" w:cs="Arial"/>
                <w:i/>
                <w:sz w:val="20"/>
              </w:rPr>
              <w:t>které se konají v září 2024</w:t>
            </w:r>
            <w:r w:rsidR="000357FE">
              <w:rPr>
                <w:rFonts w:ascii="Arial" w:hAnsi="Arial" w:cs="Arial"/>
                <w:sz w:val="20"/>
              </w:rPr>
              <w:t>.)</w:t>
            </w:r>
            <w:r w:rsidR="00D079C4">
              <w:rPr>
                <w:rFonts w:ascii="Arial" w:hAnsi="Arial" w:cs="Arial"/>
                <w:sz w:val="20"/>
              </w:rPr>
              <w:t xml:space="preserve"> </w:t>
            </w:r>
            <w:r w:rsidR="000357FE">
              <w:rPr>
                <w:rFonts w:ascii="Arial" w:hAnsi="Arial" w:cs="Arial"/>
                <w:sz w:val="20"/>
              </w:rPr>
              <w:t>Ze setkání se studenty zaměřených na hodnocení výuky a studia vyplývá, že d</w:t>
            </w:r>
            <w:r w:rsidR="000357FE" w:rsidRPr="00BB4F5E">
              <w:rPr>
                <w:rFonts w:ascii="Arial" w:hAnsi="Arial" w:cs="Arial"/>
                <w:sz w:val="20"/>
              </w:rPr>
              <w:t>ůvody nepokračování ve studiu jsou častěji osobní (u pr</w:t>
            </w:r>
            <w:r w:rsidR="000357FE">
              <w:rPr>
                <w:rFonts w:ascii="Arial" w:hAnsi="Arial" w:cs="Arial"/>
                <w:sz w:val="20"/>
              </w:rPr>
              <w:t xml:space="preserve">ezenčních studentů) a pracovní </w:t>
            </w:r>
            <w:r w:rsidR="000357FE" w:rsidRPr="00BB4F5E">
              <w:rPr>
                <w:rFonts w:ascii="Arial" w:hAnsi="Arial" w:cs="Arial"/>
                <w:sz w:val="20"/>
              </w:rPr>
              <w:t>(u kombinovaných studentů) než studijní (</w:t>
            </w:r>
            <w:r w:rsidR="000357FE">
              <w:rPr>
                <w:rFonts w:ascii="Arial" w:hAnsi="Arial" w:cs="Arial"/>
                <w:sz w:val="20"/>
              </w:rPr>
              <w:t xml:space="preserve">např. </w:t>
            </w:r>
            <w:r w:rsidR="000357FE" w:rsidRPr="00BB4F5E">
              <w:rPr>
                <w:rFonts w:ascii="Arial" w:hAnsi="Arial" w:cs="Arial"/>
                <w:sz w:val="20"/>
              </w:rPr>
              <w:t>přílišná náročnost studia).</w:t>
            </w:r>
            <w:r w:rsidR="000357FE">
              <w:rPr>
                <w:rFonts w:ascii="Arial" w:hAnsi="Arial" w:cs="Arial"/>
                <w:sz w:val="20"/>
              </w:rPr>
              <w:t xml:space="preserve"> </w:t>
            </w:r>
            <w:r w:rsidR="000357FE" w:rsidRPr="00BB4F5E">
              <w:rPr>
                <w:rFonts w:ascii="Arial" w:hAnsi="Arial" w:cs="Arial"/>
                <w:sz w:val="20"/>
              </w:rPr>
              <w:t xml:space="preserve">Míru studijní neúspěšnosti nepovažujeme za natolik vysokou, aby vyžadovala </w:t>
            </w:r>
            <w:r w:rsidR="000357FE">
              <w:rPr>
                <w:rFonts w:ascii="Arial" w:hAnsi="Arial" w:cs="Arial"/>
                <w:sz w:val="20"/>
              </w:rPr>
              <w:t>přijímání zvláštních opatření.</w:t>
            </w:r>
          </w:p>
        </w:tc>
      </w:tr>
    </w:tbl>
    <w:p w14:paraId="1E6CCA2E" w14:textId="77777777" w:rsidR="003371F2" w:rsidRDefault="003371F2" w:rsidP="002D2CDC">
      <w:pPr>
        <w:ind w:right="454"/>
        <w:rPr>
          <w:rFonts w:cs="Arial"/>
          <w:b/>
          <w:color w:val="7030A0"/>
          <w:sz w:val="24"/>
          <w:szCs w:val="24"/>
        </w:rPr>
      </w:pPr>
    </w:p>
    <w:p w14:paraId="1EF9DC5E" w14:textId="77777777" w:rsidR="00844938" w:rsidRDefault="00844938" w:rsidP="00A6284C">
      <w:pPr>
        <w:pStyle w:val="Bezmezer"/>
        <w:ind w:right="283"/>
        <w:rPr>
          <w:rFonts w:ascii="Arial" w:hAnsi="Arial" w:cs="Arial"/>
        </w:rPr>
      </w:pPr>
    </w:p>
    <w:p w14:paraId="71199DF7" w14:textId="77777777" w:rsidR="00EF678F" w:rsidRDefault="00EF678F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681860DB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0A48A10E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1F57545B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744BD85C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1CB82F32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733EC283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  <w:sectPr w:rsidR="0077514E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5963C836" w14:textId="120221AA" w:rsidR="0021568F" w:rsidRPr="00D03D96" w:rsidRDefault="00160D7F" w:rsidP="003D0633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32"/>
          <w:szCs w:val="32"/>
        </w:rPr>
        <w:lastRenderedPageBreak/>
        <w:t>Část 8</w:t>
      </w:r>
      <w:r w:rsidR="00D03D96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.) </w:t>
      </w:r>
      <w:r w:rsidR="0021568F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 </w:t>
      </w:r>
      <w:r w:rsidR="00D03D96" w:rsidRPr="00D03D96">
        <w:rPr>
          <w:rFonts w:cs="Arial"/>
          <w:b/>
          <w:color w:val="C45911" w:themeColor="accent2" w:themeShade="BF"/>
          <w:sz w:val="32"/>
          <w:szCs w:val="32"/>
        </w:rPr>
        <w:t>N</w:t>
      </w:r>
      <w:r w:rsidR="0021568F" w:rsidRPr="00D03D96">
        <w:rPr>
          <w:rFonts w:cs="Arial"/>
          <w:b/>
          <w:color w:val="C45911" w:themeColor="accent2" w:themeShade="BF"/>
          <w:sz w:val="32"/>
          <w:szCs w:val="32"/>
        </w:rPr>
        <w:t>ezaměstnanost absolventů</w:t>
      </w:r>
    </w:p>
    <w:p w14:paraId="64049DF3" w14:textId="77777777" w:rsidR="0021568F" w:rsidRDefault="0021568F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p w14:paraId="49F75E06" w14:textId="77777777" w:rsidR="00CA19BF" w:rsidRDefault="00CA19BF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tbl>
      <w:tblPr>
        <w:tblStyle w:val="Mkatabulky"/>
        <w:tblW w:w="8983" w:type="dxa"/>
        <w:tblLook w:val="04A0" w:firstRow="1" w:lastRow="0" w:firstColumn="1" w:lastColumn="0" w:noHBand="0" w:noVBand="1"/>
      </w:tblPr>
      <w:tblGrid>
        <w:gridCol w:w="2922"/>
        <w:gridCol w:w="1392"/>
        <w:gridCol w:w="1200"/>
        <w:gridCol w:w="1417"/>
        <w:gridCol w:w="2052"/>
      </w:tblGrid>
      <w:tr w:rsidR="00D03D96" w:rsidRPr="00D03D96" w14:paraId="05F02EB4" w14:textId="77777777" w:rsidTr="00160D7F">
        <w:trPr>
          <w:trHeight w:val="224"/>
        </w:trPr>
        <w:tc>
          <w:tcPr>
            <w:tcW w:w="2922" w:type="dxa"/>
            <w:shd w:val="clear" w:color="auto" w:fill="F7CAAC" w:themeFill="accent2" w:themeFillTint="66"/>
            <w:hideMark/>
          </w:tcPr>
          <w:p w14:paraId="1BD1859D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Uplatnění absolventů</w:t>
            </w:r>
          </w:p>
        </w:tc>
        <w:tc>
          <w:tcPr>
            <w:tcW w:w="1392" w:type="dxa"/>
            <w:shd w:val="clear" w:color="auto" w:fill="F7CAAC" w:themeFill="accent2" w:themeFillTint="66"/>
            <w:hideMark/>
          </w:tcPr>
          <w:p w14:paraId="4FFF8AE9" w14:textId="2DC18AFB" w:rsidR="00D03D96" w:rsidRPr="00E83F4A" w:rsidRDefault="00E83F4A" w:rsidP="00D03D96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E83F4A">
              <w:rPr>
                <w:rFonts w:cs="Arial"/>
                <w:b/>
                <w:sz w:val="16"/>
              </w:rPr>
              <w:t>2020/2021</w:t>
            </w:r>
          </w:p>
        </w:tc>
        <w:tc>
          <w:tcPr>
            <w:tcW w:w="1200" w:type="dxa"/>
            <w:shd w:val="clear" w:color="auto" w:fill="F7CAAC" w:themeFill="accent2" w:themeFillTint="66"/>
            <w:hideMark/>
          </w:tcPr>
          <w:p w14:paraId="1980F34D" w14:textId="02DCD2E6" w:rsidR="00D03D96" w:rsidRPr="00E83F4A" w:rsidRDefault="00E83F4A" w:rsidP="00D03D96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E83F4A">
              <w:rPr>
                <w:rFonts w:cs="Arial"/>
                <w:b/>
                <w:sz w:val="16"/>
              </w:rPr>
              <w:t>2021/2022</w:t>
            </w:r>
          </w:p>
        </w:tc>
        <w:tc>
          <w:tcPr>
            <w:tcW w:w="1417" w:type="dxa"/>
            <w:shd w:val="clear" w:color="auto" w:fill="F7CAAC" w:themeFill="accent2" w:themeFillTint="66"/>
            <w:hideMark/>
          </w:tcPr>
          <w:p w14:paraId="03027E9C" w14:textId="7EC5A9F8" w:rsidR="00D03D96" w:rsidRPr="00E83F4A" w:rsidRDefault="00E83F4A" w:rsidP="00D03D96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E83F4A">
              <w:rPr>
                <w:rFonts w:cs="Arial"/>
                <w:b/>
                <w:sz w:val="16"/>
              </w:rPr>
              <w:t>2022/2023</w:t>
            </w:r>
          </w:p>
        </w:tc>
        <w:tc>
          <w:tcPr>
            <w:tcW w:w="2052" w:type="dxa"/>
            <w:shd w:val="clear" w:color="auto" w:fill="F7CAAC" w:themeFill="accent2" w:themeFillTint="66"/>
            <w:hideMark/>
          </w:tcPr>
          <w:p w14:paraId="11BFCB8A" w14:textId="6DE6F3C5" w:rsidR="00D03D96" w:rsidRPr="00E83F4A" w:rsidRDefault="00E83F4A" w:rsidP="00D03D96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E83F4A">
              <w:rPr>
                <w:rFonts w:cs="Arial"/>
                <w:b/>
                <w:sz w:val="16"/>
              </w:rPr>
              <w:t>2023/2024</w:t>
            </w:r>
          </w:p>
        </w:tc>
      </w:tr>
      <w:tr w:rsidR="00D03D96" w:rsidRPr="00D03D96" w14:paraId="51B050CB" w14:textId="77777777" w:rsidTr="00F363C1">
        <w:trPr>
          <w:trHeight w:val="368"/>
        </w:trPr>
        <w:tc>
          <w:tcPr>
            <w:tcW w:w="2922" w:type="dxa"/>
            <w:hideMark/>
          </w:tcPr>
          <w:p w14:paraId="6A3C5108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Počet nezaměstnaných absolventů evidovaných na Úřadu práce k 30. 4. </w:t>
            </w:r>
          </w:p>
        </w:tc>
        <w:tc>
          <w:tcPr>
            <w:tcW w:w="1392" w:type="dxa"/>
            <w:vAlign w:val="center"/>
            <w:hideMark/>
          </w:tcPr>
          <w:p w14:paraId="26FD8F1A" w14:textId="67269DC5" w:rsidR="00D03D96" w:rsidRPr="00F363C1" w:rsidRDefault="00F363C1" w:rsidP="00F363C1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 w:rsidRPr="00F363C1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4</w:t>
            </w:r>
            <w:r w:rsidR="00F640F3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 xml:space="preserve"> (2,3%)</w:t>
            </w:r>
          </w:p>
        </w:tc>
        <w:tc>
          <w:tcPr>
            <w:tcW w:w="1200" w:type="dxa"/>
            <w:vAlign w:val="center"/>
            <w:hideMark/>
          </w:tcPr>
          <w:p w14:paraId="6867A133" w14:textId="09B58E40" w:rsidR="00D03D96" w:rsidRPr="00F363C1" w:rsidRDefault="00F363C1" w:rsidP="00F363C1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 w:rsidRPr="00F363C1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3</w:t>
            </w:r>
            <w:r w:rsidR="00F640F3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 xml:space="preserve"> (1,6 %)</w:t>
            </w:r>
          </w:p>
        </w:tc>
        <w:tc>
          <w:tcPr>
            <w:tcW w:w="1417" w:type="dxa"/>
            <w:vAlign w:val="center"/>
            <w:hideMark/>
          </w:tcPr>
          <w:p w14:paraId="6AA009AD" w14:textId="452A0972" w:rsidR="00D03D96" w:rsidRPr="00F363C1" w:rsidRDefault="00F363C1" w:rsidP="00F363C1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 w:rsidRPr="00F363C1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4</w:t>
            </w:r>
            <w:r w:rsidR="00C5279F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 xml:space="preserve"> (4,</w:t>
            </w:r>
            <w:r w:rsidR="00F640F3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3 %)</w:t>
            </w:r>
          </w:p>
        </w:tc>
        <w:tc>
          <w:tcPr>
            <w:tcW w:w="2052" w:type="dxa"/>
            <w:vAlign w:val="center"/>
            <w:hideMark/>
          </w:tcPr>
          <w:p w14:paraId="18A01E1F" w14:textId="0F361903" w:rsidR="00D03D96" w:rsidRPr="00F363C1" w:rsidRDefault="00F363C1" w:rsidP="00F363C1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 w:rsidRPr="00F363C1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0</w:t>
            </w:r>
          </w:p>
        </w:tc>
      </w:tr>
      <w:tr w:rsidR="00D03D96" w:rsidRPr="00D03D96" w14:paraId="72553E54" w14:textId="77777777" w:rsidTr="00F363C1">
        <w:trPr>
          <w:trHeight w:val="409"/>
        </w:trPr>
        <w:tc>
          <w:tcPr>
            <w:tcW w:w="2922" w:type="dxa"/>
            <w:hideMark/>
          </w:tcPr>
          <w:p w14:paraId="74186B2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Počet nezaměstnaných absolventů evidovaných na Úřadu práce k 30. 9. </w:t>
            </w:r>
          </w:p>
        </w:tc>
        <w:tc>
          <w:tcPr>
            <w:tcW w:w="1392" w:type="dxa"/>
            <w:vAlign w:val="center"/>
            <w:hideMark/>
          </w:tcPr>
          <w:p w14:paraId="67D407EB" w14:textId="296A3E7D" w:rsidR="00D03D96" w:rsidRPr="00F363C1" w:rsidRDefault="00F363C1" w:rsidP="00F363C1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 w:rsidRPr="00F363C1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-</w:t>
            </w:r>
          </w:p>
        </w:tc>
        <w:tc>
          <w:tcPr>
            <w:tcW w:w="1200" w:type="dxa"/>
            <w:vAlign w:val="center"/>
            <w:hideMark/>
          </w:tcPr>
          <w:p w14:paraId="4C409E4F" w14:textId="6BEC164D" w:rsidR="00D03D96" w:rsidRPr="00F363C1" w:rsidRDefault="00F363C1" w:rsidP="00F363C1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 w:rsidRPr="00F363C1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-</w:t>
            </w:r>
          </w:p>
        </w:tc>
        <w:tc>
          <w:tcPr>
            <w:tcW w:w="1417" w:type="dxa"/>
            <w:vAlign w:val="center"/>
            <w:hideMark/>
          </w:tcPr>
          <w:p w14:paraId="660611AA" w14:textId="5B208075" w:rsidR="00D03D96" w:rsidRPr="00F363C1" w:rsidRDefault="00F363C1" w:rsidP="00F363C1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 w:rsidRPr="00F363C1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-</w:t>
            </w:r>
          </w:p>
        </w:tc>
        <w:tc>
          <w:tcPr>
            <w:tcW w:w="2052" w:type="dxa"/>
            <w:vAlign w:val="center"/>
            <w:hideMark/>
          </w:tcPr>
          <w:p w14:paraId="11E0A637" w14:textId="08ECE558" w:rsidR="00D03D96" w:rsidRPr="00F363C1" w:rsidRDefault="00F363C1" w:rsidP="00F363C1">
            <w:pPr>
              <w:jc w:val="center"/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</w:pPr>
            <w:r w:rsidRPr="00F363C1">
              <w:rPr>
                <w:rFonts w:eastAsia="Times New Roman" w:cs="Arial"/>
                <w:color w:val="000000"/>
                <w:sz w:val="16"/>
                <w:szCs w:val="22"/>
                <w:lang w:eastAsia="cs-CZ"/>
              </w:rPr>
              <w:t>-</w:t>
            </w:r>
          </w:p>
        </w:tc>
      </w:tr>
    </w:tbl>
    <w:p w14:paraId="35BEADBA" w14:textId="69B1F7CB" w:rsidR="00986A97" w:rsidRDefault="00E4296B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A</w:t>
      </w:r>
      <w:r>
        <w:rPr>
          <w:sz w:val="16"/>
          <w:szCs w:val="16"/>
          <w:vertAlign w:val="subscript"/>
        </w:rPr>
        <w:t>8</w:t>
      </w:r>
      <w:r w:rsidR="00986A97">
        <w:rPr>
          <w:sz w:val="16"/>
          <w:szCs w:val="16"/>
        </w:rPr>
        <w:t xml:space="preserve"> ZV</w:t>
      </w:r>
      <w:r w:rsidR="00986A97">
        <w:rPr>
          <w:rFonts w:cs="Arial"/>
          <w:sz w:val="16"/>
          <w:szCs w:val="16"/>
        </w:rPr>
        <w:t>H UTB.</w:t>
      </w:r>
    </w:p>
    <w:p w14:paraId="31DEF23C" w14:textId="77777777" w:rsidR="00CA19BF" w:rsidRDefault="00CA19BF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p w14:paraId="0577B487" w14:textId="5C555D9B" w:rsidR="00D03D96" w:rsidRDefault="00D03D96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D03D96" w:rsidRPr="0058573E" w14:paraId="364CB2E4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3DAEC01E" w14:textId="1F8E646E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Vyhodnocení míry </w:t>
            </w:r>
            <w:r w:rsidR="00E4296B">
              <w:rPr>
                <w:rFonts w:ascii="Arial" w:hAnsi="Arial" w:cs="Arial"/>
                <w:b/>
                <w:sz w:val="20"/>
              </w:rPr>
              <w:t xml:space="preserve">nezaměstnanosti absolventů </w:t>
            </w:r>
            <w:r>
              <w:rPr>
                <w:rFonts w:ascii="Arial" w:hAnsi="Arial" w:cs="Arial"/>
                <w:b/>
                <w:sz w:val="20"/>
              </w:rPr>
              <w:t xml:space="preserve">ve studiu a míry řádného ukončování studia </w:t>
            </w:r>
          </w:p>
          <w:p w14:paraId="740D1E34" w14:textId="77777777" w:rsidR="00D03D96" w:rsidRPr="00AC4575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popis závěrů vyvozených z dosahované míry studijní neúspěšnosti a míry řádného ukončování studia a popis opatření, která byla v reakci na tyto závěry přijata)</w:t>
            </w:r>
          </w:p>
        </w:tc>
      </w:tr>
      <w:tr w:rsidR="00D03D96" w:rsidRPr="0058573E" w14:paraId="630A7ADC" w14:textId="77777777" w:rsidTr="00E178B6">
        <w:trPr>
          <w:trHeight w:val="770"/>
        </w:trPr>
        <w:tc>
          <w:tcPr>
            <w:tcW w:w="9040" w:type="dxa"/>
          </w:tcPr>
          <w:p w14:paraId="73BADF03" w14:textId="4B15C9AF" w:rsidR="00D03D96" w:rsidRPr="0058573E" w:rsidRDefault="00F363C1" w:rsidP="00E006FE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Míra nezaměstnanosti absolventů ve sledovaném období se pohybuje v intervalu od 0 % </w:t>
            </w:r>
            <w:r w:rsidR="00E178B6"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t>do 4,3 %. Jedná se o velmi nízkou úroveň nezaměstnanosti, která svědčí o velmi dobré uplatnitelnosti absolventů na trhu práce.</w:t>
            </w:r>
            <w:r w:rsidR="00E178B6">
              <w:rPr>
                <w:rFonts w:ascii="Arial" w:hAnsi="Arial" w:cs="Arial"/>
                <w:sz w:val="20"/>
              </w:rPr>
              <w:t xml:space="preserve"> V této souvislosti nejsou přijímána žádná opatření.</w:t>
            </w:r>
          </w:p>
        </w:tc>
      </w:tr>
    </w:tbl>
    <w:p w14:paraId="51F4F6D9" w14:textId="77777777" w:rsidR="00D03D96" w:rsidRDefault="00D03D96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  <w:sectPr w:rsidR="00D03D96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547EEBB6" w14:textId="32A54768" w:rsidR="00AA27FD" w:rsidRPr="00D03D96" w:rsidRDefault="00160D7F" w:rsidP="005533D1">
      <w:pPr>
        <w:pStyle w:val="Bezmezer"/>
        <w:ind w:right="283"/>
        <w:jc w:val="left"/>
        <w:rPr>
          <w:rFonts w:cs="Arial"/>
          <w:b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32"/>
          <w:szCs w:val="32"/>
        </w:rPr>
        <w:lastRenderedPageBreak/>
        <w:t>Část 9</w:t>
      </w:r>
      <w:r w:rsidR="00D03D96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.) </w:t>
      </w:r>
      <w:r w:rsidR="00AA27FD" w:rsidRPr="00D03D96">
        <w:rPr>
          <w:rFonts w:cs="Arial"/>
          <w:b/>
          <w:color w:val="C45911" w:themeColor="accent2" w:themeShade="BF"/>
          <w:sz w:val="32"/>
          <w:szCs w:val="32"/>
        </w:rPr>
        <w:t>Pedagogické, vědecké a technické za</w:t>
      </w:r>
      <w:r w:rsidR="00B805DB" w:rsidRPr="00D03D96">
        <w:rPr>
          <w:rFonts w:cs="Arial"/>
          <w:b/>
          <w:color w:val="C45911" w:themeColor="accent2" w:themeShade="BF"/>
          <w:sz w:val="32"/>
          <w:szCs w:val="32"/>
        </w:rPr>
        <w:t>jištění</w:t>
      </w:r>
      <w:r w:rsidR="00AA27FD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 studijního programu</w:t>
      </w:r>
    </w:p>
    <w:p w14:paraId="24258BD9" w14:textId="77777777" w:rsidR="00AA27FD" w:rsidRDefault="00AA27FD" w:rsidP="00AA27FD">
      <w:pPr>
        <w:pStyle w:val="Bezmezer"/>
        <w:ind w:right="283"/>
        <w:rPr>
          <w:rFonts w:ascii="Arial" w:hAnsi="Arial" w:cs="Arial"/>
        </w:rPr>
      </w:pPr>
    </w:p>
    <w:p w14:paraId="2EB33C7A" w14:textId="77777777" w:rsidR="00D03D96" w:rsidRDefault="00D03D96" w:rsidP="00CF34FE">
      <w:pPr>
        <w:pStyle w:val="Bezmezer"/>
        <w:ind w:right="283"/>
        <w:rPr>
          <w:rFonts w:cs="Arial"/>
          <w:color w:val="7030A0"/>
          <w:sz w:val="32"/>
          <w:szCs w:val="32"/>
        </w:rPr>
      </w:pPr>
    </w:p>
    <w:tbl>
      <w:tblPr>
        <w:tblStyle w:val="Mkatabulky"/>
        <w:tblW w:w="9009" w:type="dxa"/>
        <w:tblLook w:val="04A0" w:firstRow="1" w:lastRow="0" w:firstColumn="1" w:lastColumn="0" w:noHBand="0" w:noVBand="1"/>
      </w:tblPr>
      <w:tblGrid>
        <w:gridCol w:w="2342"/>
        <w:gridCol w:w="1081"/>
        <w:gridCol w:w="1262"/>
        <w:gridCol w:w="1081"/>
        <w:gridCol w:w="1081"/>
        <w:gridCol w:w="1081"/>
        <w:gridCol w:w="1081"/>
      </w:tblGrid>
      <w:tr w:rsidR="00F363C1" w:rsidRPr="00D03D96" w14:paraId="41CC999E" w14:textId="77777777" w:rsidTr="00160D7F">
        <w:trPr>
          <w:trHeight w:val="396"/>
        </w:trPr>
        <w:tc>
          <w:tcPr>
            <w:tcW w:w="4685" w:type="dxa"/>
            <w:gridSpan w:val="3"/>
            <w:shd w:val="clear" w:color="auto" w:fill="F7CAAC" w:themeFill="accent2" w:themeFillTint="66"/>
            <w:hideMark/>
          </w:tcPr>
          <w:p w14:paraId="4D7205C2" w14:textId="060616CC" w:rsidR="00F363C1" w:rsidRPr="00D03D96" w:rsidRDefault="00F363C1" w:rsidP="00F363C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Přednášející ve studijním programu</w:t>
            </w:r>
          </w:p>
        </w:tc>
        <w:tc>
          <w:tcPr>
            <w:tcW w:w="1081" w:type="dxa"/>
            <w:shd w:val="clear" w:color="auto" w:fill="F7CAAC" w:themeFill="accent2" w:themeFillTint="66"/>
            <w:hideMark/>
          </w:tcPr>
          <w:p w14:paraId="2A53BEAA" w14:textId="6EB58A74" w:rsidR="00F363C1" w:rsidRPr="00D03D96" w:rsidRDefault="00F363C1" w:rsidP="00F363C1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E83F4A">
              <w:rPr>
                <w:rFonts w:cs="Arial"/>
                <w:b/>
                <w:sz w:val="16"/>
              </w:rPr>
              <w:t>2020/2021</w:t>
            </w:r>
          </w:p>
        </w:tc>
        <w:tc>
          <w:tcPr>
            <w:tcW w:w="1081" w:type="dxa"/>
            <w:shd w:val="clear" w:color="auto" w:fill="F7CAAC" w:themeFill="accent2" w:themeFillTint="66"/>
            <w:hideMark/>
          </w:tcPr>
          <w:p w14:paraId="69C65BC4" w14:textId="5F0FCD40" w:rsidR="00F363C1" w:rsidRPr="00D03D96" w:rsidRDefault="00F363C1" w:rsidP="00F363C1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E83F4A">
              <w:rPr>
                <w:rFonts w:cs="Arial"/>
                <w:b/>
                <w:sz w:val="16"/>
              </w:rPr>
              <w:t>2021/2022</w:t>
            </w:r>
          </w:p>
        </w:tc>
        <w:tc>
          <w:tcPr>
            <w:tcW w:w="1081" w:type="dxa"/>
            <w:shd w:val="clear" w:color="auto" w:fill="F7CAAC" w:themeFill="accent2" w:themeFillTint="66"/>
            <w:hideMark/>
          </w:tcPr>
          <w:p w14:paraId="79BB7080" w14:textId="0BE2F64F" w:rsidR="00F363C1" w:rsidRPr="00D03D96" w:rsidRDefault="00F363C1" w:rsidP="00F363C1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E83F4A">
              <w:rPr>
                <w:rFonts w:cs="Arial"/>
                <w:b/>
                <w:sz w:val="16"/>
              </w:rPr>
              <w:t>2022/2023</w:t>
            </w:r>
          </w:p>
        </w:tc>
        <w:tc>
          <w:tcPr>
            <w:tcW w:w="1081" w:type="dxa"/>
            <w:shd w:val="clear" w:color="auto" w:fill="F7CAAC" w:themeFill="accent2" w:themeFillTint="66"/>
            <w:hideMark/>
          </w:tcPr>
          <w:p w14:paraId="26D7D9D5" w14:textId="085040BF" w:rsidR="00F363C1" w:rsidRPr="00D03D96" w:rsidRDefault="00F363C1" w:rsidP="00F363C1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E83F4A">
              <w:rPr>
                <w:rFonts w:cs="Arial"/>
                <w:b/>
                <w:sz w:val="16"/>
              </w:rPr>
              <w:t>2023/2024</w:t>
            </w:r>
          </w:p>
        </w:tc>
      </w:tr>
      <w:tr w:rsidR="00D03D96" w:rsidRPr="00D03D96" w14:paraId="1467D343" w14:textId="77777777" w:rsidTr="00231DC3">
        <w:trPr>
          <w:trHeight w:val="396"/>
        </w:trPr>
        <w:tc>
          <w:tcPr>
            <w:tcW w:w="2342" w:type="dxa"/>
            <w:vMerge w:val="restart"/>
            <w:hideMark/>
          </w:tcPr>
          <w:p w14:paraId="612E290C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podíl profesorů a docentů na počtu hodin přednášek [%]</w:t>
            </w:r>
          </w:p>
        </w:tc>
        <w:tc>
          <w:tcPr>
            <w:tcW w:w="1081" w:type="dxa"/>
            <w:vMerge w:val="restart"/>
            <w:textDirection w:val="btLr"/>
            <w:hideMark/>
          </w:tcPr>
          <w:p w14:paraId="42E9ABB8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  <w:t>Studium</w:t>
            </w:r>
          </w:p>
        </w:tc>
        <w:tc>
          <w:tcPr>
            <w:tcW w:w="1262" w:type="dxa"/>
            <w:hideMark/>
          </w:tcPr>
          <w:p w14:paraId="196D7D13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081" w:type="dxa"/>
            <w:vAlign w:val="center"/>
            <w:hideMark/>
          </w:tcPr>
          <w:p w14:paraId="18640378" w14:textId="0917CBEB" w:rsidR="00D03D96" w:rsidRPr="00D03D96" w:rsidRDefault="00924598" w:rsidP="00231DC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081" w:type="dxa"/>
            <w:vAlign w:val="center"/>
            <w:hideMark/>
          </w:tcPr>
          <w:p w14:paraId="4FE5C399" w14:textId="16D820C2" w:rsidR="00D03D96" w:rsidRPr="00D03D96" w:rsidRDefault="00992900" w:rsidP="00231DC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081" w:type="dxa"/>
            <w:vAlign w:val="center"/>
            <w:hideMark/>
          </w:tcPr>
          <w:p w14:paraId="3C8D967B" w14:textId="7316C717" w:rsidR="00D03D96" w:rsidRPr="00D03D96" w:rsidRDefault="00992900" w:rsidP="00231DC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081" w:type="dxa"/>
            <w:vAlign w:val="center"/>
            <w:hideMark/>
          </w:tcPr>
          <w:p w14:paraId="1ED2B49E" w14:textId="512FBAC7" w:rsidR="00D03D96" w:rsidRPr="00D03D96" w:rsidRDefault="00992900" w:rsidP="00231DC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</w:tr>
      <w:tr w:rsidR="00D03D96" w:rsidRPr="00D03D96" w14:paraId="77FE08C1" w14:textId="77777777" w:rsidTr="00231DC3">
        <w:trPr>
          <w:trHeight w:val="396"/>
        </w:trPr>
        <w:tc>
          <w:tcPr>
            <w:tcW w:w="2342" w:type="dxa"/>
            <w:vMerge/>
            <w:hideMark/>
          </w:tcPr>
          <w:p w14:paraId="6E207E37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81" w:type="dxa"/>
            <w:vMerge/>
            <w:hideMark/>
          </w:tcPr>
          <w:p w14:paraId="6F96EBC1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262" w:type="dxa"/>
            <w:hideMark/>
          </w:tcPr>
          <w:p w14:paraId="0BDF3AFC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081" w:type="dxa"/>
            <w:vAlign w:val="center"/>
            <w:hideMark/>
          </w:tcPr>
          <w:p w14:paraId="0DE6905E" w14:textId="68252C19" w:rsidR="00D03D96" w:rsidRPr="00D03D96" w:rsidRDefault="00924598" w:rsidP="00231DC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33</w:t>
            </w:r>
          </w:p>
        </w:tc>
        <w:tc>
          <w:tcPr>
            <w:tcW w:w="1081" w:type="dxa"/>
            <w:vAlign w:val="center"/>
            <w:hideMark/>
          </w:tcPr>
          <w:p w14:paraId="613D302D" w14:textId="2385F215" w:rsidR="00D03D96" w:rsidRPr="00D03D96" w:rsidRDefault="00992900" w:rsidP="00231DC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081" w:type="dxa"/>
            <w:vAlign w:val="center"/>
            <w:hideMark/>
          </w:tcPr>
          <w:p w14:paraId="036E19E0" w14:textId="2854F02B" w:rsidR="00D03D96" w:rsidRPr="00D03D96" w:rsidRDefault="00992900" w:rsidP="00231DC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1081" w:type="dxa"/>
            <w:vAlign w:val="center"/>
            <w:hideMark/>
          </w:tcPr>
          <w:p w14:paraId="31E34C97" w14:textId="5F1184C1" w:rsidR="00D03D96" w:rsidRPr="00D03D96" w:rsidRDefault="00992900" w:rsidP="00231DC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21</w:t>
            </w:r>
          </w:p>
        </w:tc>
      </w:tr>
      <w:tr w:rsidR="00D03D96" w:rsidRPr="00D03D96" w14:paraId="13A1F2B7" w14:textId="77777777" w:rsidTr="00231DC3">
        <w:trPr>
          <w:trHeight w:val="396"/>
        </w:trPr>
        <w:tc>
          <w:tcPr>
            <w:tcW w:w="2342" w:type="dxa"/>
            <w:vMerge w:val="restart"/>
            <w:hideMark/>
          </w:tcPr>
          <w:p w14:paraId="67A2D463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podíl odborných asistentů s titulem Ph.D. na počtu hodin přednášek [%]</w:t>
            </w:r>
          </w:p>
        </w:tc>
        <w:tc>
          <w:tcPr>
            <w:tcW w:w="1081" w:type="dxa"/>
            <w:vMerge w:val="restart"/>
            <w:textDirection w:val="btLr"/>
            <w:hideMark/>
          </w:tcPr>
          <w:p w14:paraId="6CBAD8F7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  <w:t>Studium</w:t>
            </w:r>
          </w:p>
        </w:tc>
        <w:tc>
          <w:tcPr>
            <w:tcW w:w="1262" w:type="dxa"/>
            <w:hideMark/>
          </w:tcPr>
          <w:p w14:paraId="5722775C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081" w:type="dxa"/>
            <w:vAlign w:val="center"/>
            <w:hideMark/>
          </w:tcPr>
          <w:p w14:paraId="6049F988" w14:textId="17C352E9" w:rsidR="00D03D96" w:rsidRPr="00D03D96" w:rsidRDefault="00CD6DC1" w:rsidP="00231DC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83</w:t>
            </w:r>
          </w:p>
        </w:tc>
        <w:tc>
          <w:tcPr>
            <w:tcW w:w="1081" w:type="dxa"/>
            <w:vAlign w:val="center"/>
            <w:hideMark/>
          </w:tcPr>
          <w:p w14:paraId="10F6D2F1" w14:textId="033502BC" w:rsidR="00D03D96" w:rsidRPr="00D03D96" w:rsidRDefault="00A42121" w:rsidP="00231DC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88</w:t>
            </w:r>
          </w:p>
        </w:tc>
        <w:tc>
          <w:tcPr>
            <w:tcW w:w="1081" w:type="dxa"/>
            <w:vAlign w:val="center"/>
            <w:hideMark/>
          </w:tcPr>
          <w:p w14:paraId="680716AE" w14:textId="3BE1C655" w:rsidR="00D03D96" w:rsidRPr="00D03D96" w:rsidRDefault="00A42121" w:rsidP="00231DC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84</w:t>
            </w:r>
          </w:p>
        </w:tc>
        <w:tc>
          <w:tcPr>
            <w:tcW w:w="1081" w:type="dxa"/>
            <w:vAlign w:val="center"/>
            <w:hideMark/>
          </w:tcPr>
          <w:p w14:paraId="72FDF4B7" w14:textId="52C764C7" w:rsidR="00D03D96" w:rsidRPr="00D03D96" w:rsidRDefault="00A42121" w:rsidP="00231DC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80</w:t>
            </w:r>
          </w:p>
        </w:tc>
      </w:tr>
      <w:tr w:rsidR="00D03D96" w:rsidRPr="00D03D96" w14:paraId="436B5FA5" w14:textId="77777777" w:rsidTr="00231DC3">
        <w:trPr>
          <w:trHeight w:val="396"/>
        </w:trPr>
        <w:tc>
          <w:tcPr>
            <w:tcW w:w="2342" w:type="dxa"/>
            <w:vMerge/>
            <w:hideMark/>
          </w:tcPr>
          <w:p w14:paraId="46E90F0D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81" w:type="dxa"/>
            <w:vMerge/>
            <w:hideMark/>
          </w:tcPr>
          <w:p w14:paraId="75F344E1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262" w:type="dxa"/>
            <w:hideMark/>
          </w:tcPr>
          <w:p w14:paraId="10A65FCE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081" w:type="dxa"/>
            <w:vAlign w:val="center"/>
            <w:hideMark/>
          </w:tcPr>
          <w:p w14:paraId="59B6233F" w14:textId="1E115D73" w:rsidR="00D03D96" w:rsidRPr="00D03D96" w:rsidRDefault="00CD6DC1" w:rsidP="00231DC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47</w:t>
            </w:r>
          </w:p>
        </w:tc>
        <w:tc>
          <w:tcPr>
            <w:tcW w:w="1081" w:type="dxa"/>
            <w:vAlign w:val="center"/>
            <w:hideMark/>
          </w:tcPr>
          <w:p w14:paraId="3B7317AE" w14:textId="2F299C30" w:rsidR="00D03D96" w:rsidRPr="00D03D96" w:rsidRDefault="00A42121" w:rsidP="00231DC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76</w:t>
            </w:r>
          </w:p>
        </w:tc>
        <w:tc>
          <w:tcPr>
            <w:tcW w:w="1081" w:type="dxa"/>
            <w:vAlign w:val="center"/>
            <w:hideMark/>
          </w:tcPr>
          <w:p w14:paraId="49604859" w14:textId="7C2314C9" w:rsidR="00D03D96" w:rsidRPr="00D03D96" w:rsidRDefault="00A42121" w:rsidP="00231DC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65</w:t>
            </w:r>
          </w:p>
        </w:tc>
        <w:tc>
          <w:tcPr>
            <w:tcW w:w="1081" w:type="dxa"/>
            <w:vAlign w:val="center"/>
            <w:hideMark/>
          </w:tcPr>
          <w:p w14:paraId="0DC46BE1" w14:textId="1157A0A4" w:rsidR="00D03D96" w:rsidRPr="00D03D96" w:rsidRDefault="00A42121" w:rsidP="00231DC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65</w:t>
            </w:r>
          </w:p>
        </w:tc>
      </w:tr>
      <w:tr w:rsidR="00D03D96" w:rsidRPr="00D03D96" w14:paraId="090A9332" w14:textId="77777777" w:rsidTr="00231DC3">
        <w:trPr>
          <w:trHeight w:val="396"/>
        </w:trPr>
        <w:tc>
          <w:tcPr>
            <w:tcW w:w="2342" w:type="dxa"/>
            <w:vMerge w:val="restart"/>
            <w:hideMark/>
          </w:tcPr>
          <w:p w14:paraId="09410CAB" w14:textId="48D9B321" w:rsidR="00D03D96" w:rsidRPr="00D03D96" w:rsidRDefault="007451A3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podíl externistů</w:t>
            </w:r>
            <w:r w:rsidR="00D03D96"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na počtu hodin přednášek [%]</w:t>
            </w:r>
          </w:p>
        </w:tc>
        <w:tc>
          <w:tcPr>
            <w:tcW w:w="1081" w:type="dxa"/>
            <w:vMerge w:val="restart"/>
            <w:textDirection w:val="btLr"/>
            <w:hideMark/>
          </w:tcPr>
          <w:p w14:paraId="1F8FB9CA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  <w:t>Studium</w:t>
            </w:r>
          </w:p>
        </w:tc>
        <w:tc>
          <w:tcPr>
            <w:tcW w:w="1262" w:type="dxa"/>
            <w:hideMark/>
          </w:tcPr>
          <w:p w14:paraId="67D740AA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081" w:type="dxa"/>
            <w:vAlign w:val="center"/>
            <w:hideMark/>
          </w:tcPr>
          <w:p w14:paraId="47D8A222" w14:textId="240C66B7" w:rsidR="00D03D96" w:rsidRPr="00D03D96" w:rsidRDefault="00CD6DC1" w:rsidP="00231DC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081" w:type="dxa"/>
            <w:vAlign w:val="center"/>
            <w:hideMark/>
          </w:tcPr>
          <w:p w14:paraId="5CD0CD2A" w14:textId="7190ED54" w:rsidR="00D03D96" w:rsidRPr="00D03D96" w:rsidRDefault="00CD6DC1" w:rsidP="00231DC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081" w:type="dxa"/>
            <w:vAlign w:val="center"/>
            <w:hideMark/>
          </w:tcPr>
          <w:p w14:paraId="515BA3CA" w14:textId="451A15FC" w:rsidR="00D03D96" w:rsidRPr="00D03D96" w:rsidRDefault="00CD6DC1" w:rsidP="00231DC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081" w:type="dxa"/>
            <w:vAlign w:val="center"/>
            <w:hideMark/>
          </w:tcPr>
          <w:p w14:paraId="43A76CED" w14:textId="2A465D90" w:rsidR="00D03D96" w:rsidRPr="00D03D96" w:rsidRDefault="00CD6DC1" w:rsidP="00231DC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D03D96" w:rsidRPr="00D03D96" w14:paraId="5BC58D76" w14:textId="77777777" w:rsidTr="00231DC3">
        <w:trPr>
          <w:trHeight w:val="396"/>
        </w:trPr>
        <w:tc>
          <w:tcPr>
            <w:tcW w:w="2342" w:type="dxa"/>
            <w:vMerge/>
            <w:hideMark/>
          </w:tcPr>
          <w:p w14:paraId="75BDA97F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81" w:type="dxa"/>
            <w:vMerge/>
            <w:hideMark/>
          </w:tcPr>
          <w:p w14:paraId="081C6028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262" w:type="dxa"/>
            <w:hideMark/>
          </w:tcPr>
          <w:p w14:paraId="43A18B1D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081" w:type="dxa"/>
            <w:vAlign w:val="center"/>
            <w:hideMark/>
          </w:tcPr>
          <w:p w14:paraId="2762B44C" w14:textId="37782C81" w:rsidR="00D03D96" w:rsidRPr="00D03D96" w:rsidRDefault="00CD6DC1" w:rsidP="00231DC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081" w:type="dxa"/>
            <w:vAlign w:val="center"/>
            <w:hideMark/>
          </w:tcPr>
          <w:p w14:paraId="10AB9C82" w14:textId="08939AAA" w:rsidR="00D03D96" w:rsidRPr="00D03D96" w:rsidRDefault="00CD6DC1" w:rsidP="00231DC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081" w:type="dxa"/>
            <w:vAlign w:val="center"/>
            <w:hideMark/>
          </w:tcPr>
          <w:p w14:paraId="229FD2FD" w14:textId="7324F4D7" w:rsidR="00D03D96" w:rsidRPr="00D03D96" w:rsidRDefault="00CD6DC1" w:rsidP="00231DC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081" w:type="dxa"/>
            <w:vAlign w:val="center"/>
            <w:hideMark/>
          </w:tcPr>
          <w:p w14:paraId="686DEA62" w14:textId="4B1315C1" w:rsidR="00D03D96" w:rsidRPr="00D03D96" w:rsidRDefault="00CD6DC1" w:rsidP="00231DC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</w:tbl>
    <w:p w14:paraId="190E0C24" w14:textId="7B322A1C" w:rsidR="00986A97" w:rsidRDefault="00E4296B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B</w:t>
      </w:r>
      <w:r>
        <w:rPr>
          <w:sz w:val="16"/>
          <w:szCs w:val="16"/>
          <w:vertAlign w:val="subscript"/>
        </w:rPr>
        <w:t>2</w:t>
      </w:r>
      <w:r w:rsidR="00986A97">
        <w:rPr>
          <w:sz w:val="16"/>
          <w:szCs w:val="16"/>
        </w:rPr>
        <w:t xml:space="preserve"> </w:t>
      </w:r>
      <w:r>
        <w:rPr>
          <w:sz w:val="16"/>
          <w:szCs w:val="16"/>
        </w:rPr>
        <w:t>a B</w:t>
      </w:r>
      <w:r w:rsidRPr="00E4296B">
        <w:rPr>
          <w:sz w:val="16"/>
          <w:szCs w:val="16"/>
          <w:vertAlign w:val="subscript"/>
        </w:rPr>
        <w:t>4</w:t>
      </w:r>
      <w:r>
        <w:rPr>
          <w:sz w:val="16"/>
          <w:szCs w:val="16"/>
        </w:rPr>
        <w:t xml:space="preserve"> </w:t>
      </w:r>
      <w:r w:rsidR="00986A97">
        <w:rPr>
          <w:sz w:val="16"/>
          <w:szCs w:val="16"/>
        </w:rPr>
        <w:t>ZV</w:t>
      </w:r>
      <w:r w:rsidR="00986A97">
        <w:rPr>
          <w:rFonts w:cs="Arial"/>
          <w:sz w:val="16"/>
          <w:szCs w:val="16"/>
        </w:rPr>
        <w:t>H UTB.</w:t>
      </w:r>
    </w:p>
    <w:p w14:paraId="260ADFFE" w14:textId="5E49B112" w:rsidR="00E95C14" w:rsidRDefault="00E95C14" w:rsidP="00AA27FD">
      <w:pPr>
        <w:pStyle w:val="Bezmezer"/>
        <w:ind w:right="283"/>
        <w:rPr>
          <w:rFonts w:ascii="Arial" w:hAnsi="Arial" w:cs="Arial"/>
        </w:rPr>
      </w:pPr>
    </w:p>
    <w:p w14:paraId="4C1AF986" w14:textId="77777777" w:rsidR="00D03D96" w:rsidRDefault="00D03D96" w:rsidP="00AA27FD">
      <w:pPr>
        <w:pStyle w:val="Bezmezer"/>
        <w:ind w:right="283"/>
        <w:rPr>
          <w:rFonts w:ascii="Arial" w:hAnsi="Arial" w:cs="Arial"/>
        </w:rPr>
      </w:pPr>
    </w:p>
    <w:p w14:paraId="3374E2BC" w14:textId="77777777" w:rsidR="00DE5205" w:rsidRDefault="00DE5205" w:rsidP="00AA27FD">
      <w:pPr>
        <w:pStyle w:val="Bezmezer"/>
        <w:ind w:right="283"/>
        <w:rPr>
          <w:rFonts w:ascii="Arial" w:hAnsi="Arial" w:cs="Arial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0"/>
      </w:tblGrid>
      <w:tr w:rsidR="00AA27FD" w:rsidRPr="0058573E" w14:paraId="7F1A416D" w14:textId="77777777" w:rsidTr="00160D7F">
        <w:tc>
          <w:tcPr>
            <w:tcW w:w="5000" w:type="pct"/>
            <w:shd w:val="clear" w:color="auto" w:fill="F7CAAC" w:themeFill="accent2" w:themeFillTint="66"/>
          </w:tcPr>
          <w:p w14:paraId="40F9F9C7" w14:textId="7D3733A9" w:rsidR="005533D1" w:rsidRDefault="005533D1" w:rsidP="006C2F13">
            <w:pPr>
              <w:pStyle w:val="Bezmezer"/>
              <w:spacing w:before="60" w:after="6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5533D1">
              <w:rPr>
                <w:rFonts w:ascii="Arial" w:hAnsi="Arial" w:cs="Arial"/>
                <w:b/>
                <w:sz w:val="20"/>
              </w:rPr>
              <w:t>Zabezpečení studijního programu</w:t>
            </w:r>
            <w:r w:rsidRPr="0058573E">
              <w:rPr>
                <w:rFonts w:ascii="Arial" w:hAnsi="Arial" w:cs="Arial"/>
                <w:sz w:val="20"/>
              </w:rPr>
              <w:t xml:space="preserve"> </w:t>
            </w:r>
          </w:p>
          <w:p w14:paraId="4F72B86E" w14:textId="1D36B140" w:rsidR="00AA27FD" w:rsidRPr="0058573E" w:rsidRDefault="00CF34FE" w:rsidP="00CF34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(popis vývoje</w:t>
            </w:r>
            <w:r w:rsidR="00AA27FD" w:rsidRPr="005405C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personálního a technického </w:t>
            </w:r>
            <w:r w:rsidR="00AA27FD" w:rsidRPr="005405C0">
              <w:rPr>
                <w:rFonts w:ascii="Arial" w:hAnsi="Arial" w:cs="Arial"/>
                <w:i/>
                <w:sz w:val="16"/>
                <w:szCs w:val="16"/>
              </w:rPr>
              <w:t xml:space="preserve">zabezpečení studijního programu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v letech 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RRRR-3 až RRRR</w:t>
            </w:r>
            <w:r w:rsidR="00AA27FD" w:rsidRPr="005405C0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AA27FD" w:rsidRPr="0058573E" w14:paraId="7E363B2E" w14:textId="77777777" w:rsidTr="00D03D96">
        <w:trPr>
          <w:trHeight w:val="2167"/>
        </w:trPr>
        <w:tc>
          <w:tcPr>
            <w:tcW w:w="5000" w:type="pct"/>
          </w:tcPr>
          <w:p w14:paraId="4A8BBAAA" w14:textId="64D09F7E" w:rsidR="00DD25EA" w:rsidRDefault="00FE0609" w:rsidP="00DD25EA">
            <w:pPr>
              <w:pStyle w:val="Bezmezer"/>
              <w:spacing w:before="60" w:after="60"/>
              <w:ind w:right="2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Personální zabezpečení bylo ve sledovaném období relativně stabilní. Největší personální změny působí odchody na mateřskou (rodičovskou) dovolenou a příchody z ní. Pracoviště se personálně rozvíjí. Čtyři akademické pracovnice v období 2019 – 2021 úspěšně ukončily doktorské studi</w:t>
            </w:r>
            <w:r w:rsidR="00DD25EA">
              <w:rPr>
                <w:rFonts w:ascii="Arial" w:hAnsi="Arial" w:cs="Arial"/>
                <w:sz w:val="20"/>
              </w:rPr>
              <w:t>um.</w:t>
            </w:r>
            <w:r>
              <w:rPr>
                <w:rFonts w:ascii="Arial" w:hAnsi="Arial" w:cs="Arial"/>
                <w:sz w:val="20"/>
              </w:rPr>
              <w:t xml:space="preserve"> Během sledovaného období ukončili dva pracovníci (prof. a doc.) s nižšími úvazky pracovní poměr. Toto opatření bylo kladně hodnoceno Národním akreditačním úřadem</w:t>
            </w:r>
            <w:r w:rsidR="00DD25EA">
              <w:rPr>
                <w:rFonts w:ascii="Arial" w:hAnsi="Arial" w:cs="Arial"/>
                <w:sz w:val="20"/>
              </w:rPr>
              <w:t xml:space="preserve"> (NAÚ)</w:t>
            </w:r>
            <w:r>
              <w:rPr>
                <w:rFonts w:ascii="Arial" w:hAnsi="Arial" w:cs="Arial"/>
                <w:sz w:val="20"/>
              </w:rPr>
              <w:t xml:space="preserve">, který kladl důraz na to, </w:t>
            </w:r>
            <w:r w:rsidR="00DD25EA"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t>aby studijní program zajišťovali pracovníci s úvazem 1,0.</w:t>
            </w:r>
            <w:r w:rsidR="004330F3">
              <w:rPr>
                <w:rFonts w:ascii="Arial" w:hAnsi="Arial" w:cs="Arial"/>
                <w:sz w:val="20"/>
              </w:rPr>
              <w:t xml:space="preserve"> Do pracovního poměru byla přijata jedna pracovnice s Ph.D. a jedna pracovnice studující doktorský studijní program. Zabezpečení výuky je v souladu s akreditací. Zabezpečení přednášek habilitovanými pracovníky ve sledovaném období sice mezi lety 2020 a 2024 kleslo, avšak je třeba brát v úvahu, že habilitovaní pracovníci se podílejí i na vedení seminářů a jejich zapojení do výuky je tak vyšší. Největší část výuky (tj. i přednášek) v tomto bakalářském studijním programu zabezpečují akademičtí pracovníci s titulem Ph.D.</w:t>
            </w:r>
            <w:r w:rsidR="007A3895">
              <w:rPr>
                <w:rFonts w:ascii="Arial" w:hAnsi="Arial" w:cs="Arial"/>
                <w:sz w:val="20"/>
              </w:rPr>
              <w:t xml:space="preserve"> Ústav pedagogických věd je personálně schopen pokrýt výuku ve studijním programu a není nuce</w:t>
            </w:r>
            <w:r w:rsidR="00DD25EA">
              <w:rPr>
                <w:rFonts w:ascii="Arial" w:hAnsi="Arial" w:cs="Arial"/>
                <w:sz w:val="20"/>
              </w:rPr>
              <w:t>n</w:t>
            </w:r>
            <w:r w:rsidR="007A3895">
              <w:rPr>
                <w:rFonts w:ascii="Arial" w:hAnsi="Arial" w:cs="Arial"/>
                <w:sz w:val="20"/>
              </w:rPr>
              <w:t xml:space="preserve"> využívat externích pracovníků. Pokud se externí pracovníci podíleli na výuce, jednalo se o  odborníky z</w:t>
            </w:r>
            <w:r w:rsidR="00DD25EA">
              <w:rPr>
                <w:rFonts w:ascii="Arial" w:hAnsi="Arial" w:cs="Arial"/>
                <w:sz w:val="20"/>
              </w:rPr>
              <w:t> </w:t>
            </w:r>
            <w:r w:rsidR="007A3895">
              <w:rPr>
                <w:rFonts w:ascii="Arial" w:hAnsi="Arial" w:cs="Arial"/>
                <w:sz w:val="20"/>
              </w:rPr>
              <w:t>praxe</w:t>
            </w:r>
            <w:r w:rsidR="00DD25EA">
              <w:rPr>
                <w:rFonts w:ascii="Arial" w:hAnsi="Arial" w:cs="Arial"/>
                <w:sz w:val="20"/>
              </w:rPr>
              <w:t xml:space="preserve"> (např. zabezpečení Adaptačního kurzu).</w:t>
            </w:r>
            <w:r w:rsidR="009A4647">
              <w:rPr>
                <w:rFonts w:ascii="Arial" w:hAnsi="Arial" w:cs="Arial"/>
                <w:sz w:val="20"/>
              </w:rPr>
              <w:t xml:space="preserve"> </w:t>
            </w:r>
            <w:r w:rsidR="009A4647" w:rsidRPr="004B27A4">
              <w:rPr>
                <w:rFonts w:ascii="Arial" w:hAnsi="Arial" w:cs="Arial"/>
                <w:sz w:val="20"/>
              </w:rPr>
              <w:t xml:space="preserve">V současné době </w:t>
            </w:r>
            <w:r w:rsidR="004B27A4" w:rsidRPr="004B27A4">
              <w:rPr>
                <w:rFonts w:ascii="Arial" w:hAnsi="Arial" w:cs="Arial"/>
                <w:sz w:val="20"/>
              </w:rPr>
              <w:t>zabezpečují studijní program</w:t>
            </w:r>
            <w:r w:rsidR="004B27A4">
              <w:rPr>
                <w:rFonts w:ascii="Arial" w:hAnsi="Arial" w:cs="Arial"/>
                <w:sz w:val="20"/>
              </w:rPr>
              <w:t xml:space="preserve"> tři habilitovaní </w:t>
            </w:r>
            <w:r w:rsidR="00231DC3">
              <w:rPr>
                <w:rFonts w:ascii="Arial" w:hAnsi="Arial" w:cs="Arial"/>
                <w:sz w:val="20"/>
              </w:rPr>
              <w:t>pracovníci (součet úvazků</w:t>
            </w:r>
            <w:r w:rsidR="004B27A4">
              <w:rPr>
                <w:rFonts w:ascii="Arial" w:hAnsi="Arial" w:cs="Arial"/>
                <w:sz w:val="20"/>
              </w:rPr>
              <w:t xml:space="preserve"> 3,0), 14 akademických pracovníků s titulem Ph.D. (součet úvazků 13,0) a dva akademičtí pracovníci s titulem Mgr. studující doktorské studium (součet úvazků 2,0).</w:t>
            </w:r>
          </w:p>
          <w:p w14:paraId="20F2F862" w14:textId="77777777" w:rsidR="00DD25EA" w:rsidRDefault="00DD25EA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F40A537" w14:textId="68722C95" w:rsidR="00DD25EA" w:rsidRDefault="00DD25EA" w:rsidP="00DD25EA">
            <w:pPr>
              <w:jc w:val="both"/>
            </w:pPr>
            <w:r>
              <w:rPr>
                <w:rFonts w:cs="Arial"/>
              </w:rPr>
              <w:t>V roce 2019 byl studijní obor akreditován jako studijní program Sociální pedagogika na 10 let. NAÚ konstatoval dobré odborné a personální zabezpe</w:t>
            </w:r>
            <w:r w:rsidR="00231DC3">
              <w:rPr>
                <w:rFonts w:cs="Arial"/>
              </w:rPr>
              <w:t>čení studijního programu. Od akademického</w:t>
            </w:r>
            <w:r>
              <w:rPr>
                <w:rFonts w:cs="Arial"/>
              </w:rPr>
              <w:t xml:space="preserve"> roku 2019/2020 se v prvním ročníku realizuje nový studijní plán, ve kterém byly v rámci akreditace zohledněny připomínky studentů, akademických pracovníků i připomínky z pracovišť, ve kterých studenti vykonávají praxi.</w:t>
            </w:r>
          </w:p>
          <w:p w14:paraId="6E72832F" w14:textId="77777777" w:rsidR="00DD25EA" w:rsidRDefault="00DD25EA" w:rsidP="00DD25EA">
            <w:pPr>
              <w:pStyle w:val="Bezmezer"/>
              <w:spacing w:before="60" w:after="60"/>
              <w:ind w:right="26"/>
              <w:rPr>
                <w:rFonts w:ascii="Arial" w:hAnsi="Arial" w:cs="Arial"/>
                <w:sz w:val="20"/>
              </w:rPr>
            </w:pPr>
          </w:p>
          <w:p w14:paraId="2D4D0143" w14:textId="0CE085D6" w:rsidR="00CF34FE" w:rsidRPr="0058573E" w:rsidRDefault="00DD25EA" w:rsidP="00DD25EA">
            <w:pPr>
              <w:pStyle w:val="Bezmezer"/>
              <w:spacing w:before="60" w:after="60"/>
              <w:ind w:right="2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Studijní program nevyžaduje speciální technické a materiální zabezpečení. Studenti využívají </w:t>
            </w:r>
            <w:r>
              <w:rPr>
                <w:rFonts w:ascii="Arial" w:hAnsi="Arial" w:cs="Arial"/>
                <w:sz w:val="20"/>
              </w:rPr>
              <w:br/>
              <w:t xml:space="preserve">ve výuce metodologie statistický software </w:t>
            </w:r>
            <w:proofErr w:type="spellStart"/>
            <w:r>
              <w:rPr>
                <w:rFonts w:ascii="Arial" w:hAnsi="Arial" w:cs="Arial"/>
                <w:sz w:val="20"/>
              </w:rPr>
              <w:t>Statistica</w:t>
            </w:r>
            <w:proofErr w:type="spellEnd"/>
            <w:r>
              <w:rPr>
                <w:rFonts w:ascii="Arial" w:hAnsi="Arial" w:cs="Arial"/>
                <w:sz w:val="20"/>
              </w:rPr>
              <w:t>, který mají dispozici také k analýze dat při psaní bakalářských prací.</w:t>
            </w:r>
          </w:p>
        </w:tc>
      </w:tr>
    </w:tbl>
    <w:p w14:paraId="169749C4" w14:textId="77777777" w:rsidR="002A3C5B" w:rsidRDefault="002A3C5B" w:rsidP="00AA27FD">
      <w:pPr>
        <w:pStyle w:val="Bezmezer"/>
        <w:ind w:right="283"/>
        <w:rPr>
          <w:rFonts w:ascii="Arial" w:hAnsi="Arial" w:cs="Arial"/>
          <w:color w:val="7030A0"/>
          <w:sz w:val="32"/>
          <w:szCs w:val="32"/>
        </w:rPr>
        <w:sectPr w:rsidR="002A3C5B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55E29904" w14:textId="14474684" w:rsidR="00AA27FD" w:rsidRPr="00D03D96" w:rsidRDefault="00160D7F" w:rsidP="00AA27FD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32"/>
          <w:szCs w:val="32"/>
        </w:rPr>
        <w:lastRenderedPageBreak/>
        <w:t>Část 10</w:t>
      </w:r>
      <w:r w:rsidR="00D03D96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.) </w:t>
      </w:r>
      <w:r w:rsidR="00AA27FD" w:rsidRPr="00D03D96">
        <w:rPr>
          <w:rFonts w:cs="Arial"/>
          <w:b/>
          <w:color w:val="C45911" w:themeColor="accent2" w:themeShade="BF"/>
          <w:sz w:val="32"/>
          <w:szCs w:val="32"/>
        </w:rPr>
        <w:t>SWOT analýza studijního programu</w:t>
      </w:r>
    </w:p>
    <w:p w14:paraId="4978E128" w14:textId="77777777" w:rsidR="00F4133D" w:rsidRDefault="00F4133D" w:rsidP="00AA27FD">
      <w:pPr>
        <w:pStyle w:val="Bezmezer"/>
        <w:ind w:right="283"/>
        <w:rPr>
          <w:rFonts w:ascii="Arial" w:hAnsi="Arial" w:cs="Arial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30"/>
        <w:gridCol w:w="4530"/>
      </w:tblGrid>
      <w:tr w:rsidR="00A01FC0" w:rsidRPr="0058573E" w14:paraId="3DA7DB55" w14:textId="77777777" w:rsidTr="00160D7F">
        <w:tc>
          <w:tcPr>
            <w:tcW w:w="2500" w:type="pct"/>
            <w:shd w:val="clear" w:color="auto" w:fill="F7CAAC" w:themeFill="accent2" w:themeFillTint="66"/>
          </w:tcPr>
          <w:p w14:paraId="711508A0" w14:textId="77777777" w:rsidR="00A01FC0" w:rsidRPr="00160D7F" w:rsidRDefault="0031254C" w:rsidP="00EB640D">
            <w:pPr>
              <w:pStyle w:val="Bezmezer"/>
              <w:spacing w:before="60" w:after="6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Silné stránky</w:t>
            </w:r>
          </w:p>
        </w:tc>
        <w:tc>
          <w:tcPr>
            <w:tcW w:w="2500" w:type="pct"/>
            <w:shd w:val="clear" w:color="auto" w:fill="F7CAAC" w:themeFill="accent2" w:themeFillTint="66"/>
          </w:tcPr>
          <w:p w14:paraId="4EF8E64C" w14:textId="77777777" w:rsidR="00A01FC0" w:rsidRPr="00160D7F" w:rsidRDefault="0031254C" w:rsidP="00EB640D">
            <w:pPr>
              <w:pStyle w:val="Bezmezer"/>
              <w:spacing w:before="60" w:after="6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Slabé stránky</w:t>
            </w:r>
          </w:p>
        </w:tc>
      </w:tr>
      <w:tr w:rsidR="00A01FC0" w:rsidRPr="0058573E" w14:paraId="552B2332" w14:textId="77777777" w:rsidTr="00426F15">
        <w:trPr>
          <w:trHeight w:val="5243"/>
        </w:trPr>
        <w:tc>
          <w:tcPr>
            <w:tcW w:w="2500" w:type="pct"/>
          </w:tcPr>
          <w:p w14:paraId="7BE3E1FC" w14:textId="6EFD8555" w:rsidR="0031254C" w:rsidRDefault="004B27A4" w:rsidP="00A64555">
            <w:pPr>
              <w:pStyle w:val="Bezmezer"/>
              <w:numPr>
                <w:ilvl w:val="0"/>
                <w:numId w:val="5"/>
              </w:numPr>
              <w:spacing w:before="60" w:after="60"/>
              <w:ind w:left="449" w:right="3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="00EB0F5A">
              <w:rPr>
                <w:rFonts w:ascii="Arial" w:hAnsi="Arial" w:cs="Arial"/>
                <w:sz w:val="20"/>
              </w:rPr>
              <w:t xml:space="preserve">tabilní </w:t>
            </w:r>
            <w:r>
              <w:rPr>
                <w:rFonts w:ascii="Arial" w:hAnsi="Arial" w:cs="Arial"/>
                <w:sz w:val="20"/>
              </w:rPr>
              <w:t xml:space="preserve">vysoký </w:t>
            </w:r>
            <w:r w:rsidR="00EB0F5A">
              <w:rPr>
                <w:rFonts w:ascii="Arial" w:hAnsi="Arial" w:cs="Arial"/>
                <w:sz w:val="20"/>
              </w:rPr>
              <w:t>zájem uchazečů o studium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014CF863" w14:textId="1998B553" w:rsidR="004B27A4" w:rsidRDefault="004B27A4" w:rsidP="00A64555">
            <w:pPr>
              <w:pStyle w:val="Bezmezer"/>
              <w:numPr>
                <w:ilvl w:val="0"/>
                <w:numId w:val="5"/>
              </w:numPr>
              <w:spacing w:before="60" w:after="60"/>
              <w:ind w:left="449" w:right="3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Akreditace na maximální možnou dobu</w:t>
            </w:r>
            <w:r w:rsidR="00231DC3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 xml:space="preserve"> tj. 10 let.</w:t>
            </w:r>
          </w:p>
          <w:p w14:paraId="23FF1876" w14:textId="7CA0518C" w:rsidR="004B27A4" w:rsidRDefault="004B27A4" w:rsidP="00A64555">
            <w:pPr>
              <w:pStyle w:val="Bezmezer"/>
              <w:numPr>
                <w:ilvl w:val="0"/>
                <w:numId w:val="5"/>
              </w:numPr>
              <w:spacing w:before="60" w:after="60"/>
              <w:ind w:left="449" w:right="3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Velmi nízká míra nezaměstnanosti absolventů.</w:t>
            </w:r>
          </w:p>
          <w:p w14:paraId="2D6565E4" w14:textId="495CFB36" w:rsidR="004B27A4" w:rsidRDefault="004B27A4" w:rsidP="00A64555">
            <w:pPr>
              <w:pStyle w:val="Bezmezer"/>
              <w:numPr>
                <w:ilvl w:val="0"/>
                <w:numId w:val="5"/>
              </w:numPr>
              <w:spacing w:before="60" w:after="60"/>
              <w:ind w:left="449" w:right="3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Možnost pokračovat v </w:t>
            </w:r>
            <w:proofErr w:type="spellStart"/>
            <w:r>
              <w:rPr>
                <w:rFonts w:ascii="Arial" w:hAnsi="Arial" w:cs="Arial"/>
                <w:sz w:val="20"/>
              </w:rPr>
              <w:t>nMgr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. studiu </w:t>
            </w:r>
            <w:r w:rsidR="00426F15"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t>ve studijním programu Sociální pedagogika.</w:t>
            </w:r>
          </w:p>
          <w:p w14:paraId="3A1F82DE" w14:textId="41C9EC81" w:rsidR="004B27A4" w:rsidRDefault="004B27A4" w:rsidP="00A64555">
            <w:pPr>
              <w:pStyle w:val="Bezmezer"/>
              <w:numPr>
                <w:ilvl w:val="0"/>
                <w:numId w:val="5"/>
              </w:numPr>
              <w:spacing w:before="60" w:after="60"/>
              <w:ind w:left="449" w:right="3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Kladné hodnocení kvality výuky studenty v pravidelných semestrálních hodnoceních.</w:t>
            </w:r>
          </w:p>
          <w:p w14:paraId="7A82FA36" w14:textId="541B75F0" w:rsidR="004B27A4" w:rsidRDefault="004B27A4" w:rsidP="00A64555">
            <w:pPr>
              <w:pStyle w:val="Bezmezer"/>
              <w:numPr>
                <w:ilvl w:val="0"/>
                <w:numId w:val="5"/>
              </w:numPr>
              <w:spacing w:before="60" w:after="60"/>
              <w:ind w:left="449" w:right="3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Kladné hodnocení kvality studijního programu ze strany absolventů </w:t>
            </w:r>
            <w:r>
              <w:rPr>
                <w:rFonts w:ascii="Arial" w:hAnsi="Arial" w:cs="Arial"/>
                <w:sz w:val="20"/>
              </w:rPr>
              <w:br/>
              <w:t>a zaměstnavatelů.</w:t>
            </w:r>
          </w:p>
          <w:p w14:paraId="3C8847FD" w14:textId="2B58F8AF" w:rsidR="004B27A4" w:rsidRDefault="00426F15" w:rsidP="00A64555">
            <w:pPr>
              <w:pStyle w:val="Bezmezer"/>
              <w:numPr>
                <w:ilvl w:val="0"/>
                <w:numId w:val="5"/>
              </w:numPr>
              <w:spacing w:before="60" w:after="60"/>
              <w:ind w:left="449" w:right="3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Pracoviště patří v oboru sociální pedagogika k těm nejaktivnějším v</w:t>
            </w:r>
            <w:r w:rsidR="00C332C9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t>ČR</w:t>
            </w:r>
            <w:r w:rsidR="00C332C9">
              <w:rPr>
                <w:rFonts w:ascii="Arial" w:hAnsi="Arial" w:cs="Arial"/>
                <w:sz w:val="20"/>
              </w:rPr>
              <w:t xml:space="preserve"> – velmi dobrá pozice v odborné komunitě</w:t>
            </w:r>
            <w:r>
              <w:rPr>
                <w:rFonts w:ascii="Arial" w:hAnsi="Arial" w:cs="Arial"/>
                <w:sz w:val="20"/>
              </w:rPr>
              <w:t xml:space="preserve"> (vydávání časopisu Sociální pedagogika, předsednictví v Asociaci vzdělavatelů v sociální pedagogice).</w:t>
            </w:r>
          </w:p>
          <w:p w14:paraId="064C269B" w14:textId="4219030B" w:rsidR="00426F15" w:rsidRDefault="00426F15" w:rsidP="00A64555">
            <w:pPr>
              <w:pStyle w:val="Bezmezer"/>
              <w:numPr>
                <w:ilvl w:val="0"/>
                <w:numId w:val="5"/>
              </w:numPr>
              <w:spacing w:before="60" w:after="60"/>
              <w:ind w:left="449" w:right="3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Úzké kontakty s praxí.</w:t>
            </w:r>
          </w:p>
          <w:p w14:paraId="795C456A" w14:textId="77777777" w:rsidR="00540648" w:rsidRDefault="00426F15" w:rsidP="00A64555">
            <w:pPr>
              <w:pStyle w:val="Bezmezer"/>
              <w:numPr>
                <w:ilvl w:val="0"/>
                <w:numId w:val="5"/>
              </w:numPr>
              <w:spacing w:before="60" w:after="60"/>
              <w:ind w:left="449" w:right="3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Udržení kontaktu s absolventy (spolupráce na konferencích, workshopech aj.).</w:t>
            </w:r>
          </w:p>
          <w:p w14:paraId="6641E6C1" w14:textId="41316264" w:rsidR="00C332C9" w:rsidRPr="0058573E" w:rsidRDefault="00C332C9" w:rsidP="00A64555">
            <w:pPr>
              <w:pStyle w:val="Bezmezer"/>
              <w:numPr>
                <w:ilvl w:val="0"/>
                <w:numId w:val="5"/>
              </w:numPr>
              <w:spacing w:before="60" w:after="60"/>
              <w:ind w:left="449" w:right="3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Získávání projektů GA ČR.</w:t>
            </w:r>
          </w:p>
        </w:tc>
        <w:tc>
          <w:tcPr>
            <w:tcW w:w="2500" w:type="pct"/>
          </w:tcPr>
          <w:p w14:paraId="093E747A" w14:textId="48171681" w:rsidR="00A01FC0" w:rsidRDefault="00426F15" w:rsidP="00A64555">
            <w:pPr>
              <w:pStyle w:val="Bezmezer"/>
              <w:numPr>
                <w:ilvl w:val="0"/>
                <w:numId w:val="5"/>
              </w:numPr>
              <w:spacing w:before="60" w:after="60"/>
              <w:ind w:left="462" w:right="2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Fluktuace </w:t>
            </w:r>
            <w:r w:rsidR="008241B2">
              <w:rPr>
                <w:rFonts w:ascii="Arial" w:hAnsi="Arial" w:cs="Arial"/>
                <w:sz w:val="20"/>
              </w:rPr>
              <w:t>pracovníků</w:t>
            </w:r>
            <w:r>
              <w:rPr>
                <w:rFonts w:ascii="Arial" w:hAnsi="Arial" w:cs="Arial"/>
                <w:sz w:val="20"/>
              </w:rPr>
              <w:t xml:space="preserve"> způsobená odchody na mateřskou (rodičovskou) dovolenou.</w:t>
            </w:r>
          </w:p>
          <w:p w14:paraId="39AFF3C4" w14:textId="423D5BD4" w:rsidR="00426F15" w:rsidRPr="0058573E" w:rsidRDefault="00C332C9" w:rsidP="00A64555">
            <w:pPr>
              <w:pStyle w:val="Bezmezer"/>
              <w:numPr>
                <w:ilvl w:val="0"/>
                <w:numId w:val="5"/>
              </w:numPr>
              <w:spacing w:before="60" w:after="60"/>
              <w:ind w:left="462" w:right="2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Méně dlouhodobých zahraničních partnerů.</w:t>
            </w:r>
          </w:p>
          <w:p w14:paraId="3C071130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62B1FFF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F77775D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A01FC0" w:rsidRPr="0058573E" w14:paraId="1B678F7F" w14:textId="77777777" w:rsidTr="00160D7F">
        <w:tc>
          <w:tcPr>
            <w:tcW w:w="2500" w:type="pct"/>
            <w:shd w:val="clear" w:color="auto" w:fill="F7CAAC" w:themeFill="accent2" w:themeFillTint="66"/>
          </w:tcPr>
          <w:p w14:paraId="72F20B1B" w14:textId="77777777" w:rsidR="00A01FC0" w:rsidRPr="00160D7F" w:rsidRDefault="003B6B3D" w:rsidP="0031254C">
            <w:pPr>
              <w:pStyle w:val="Bezmezer"/>
              <w:spacing w:before="60" w:after="6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Příležitosti</w:t>
            </w:r>
          </w:p>
        </w:tc>
        <w:tc>
          <w:tcPr>
            <w:tcW w:w="2500" w:type="pct"/>
            <w:shd w:val="clear" w:color="auto" w:fill="F7CAAC" w:themeFill="accent2" w:themeFillTint="66"/>
          </w:tcPr>
          <w:p w14:paraId="4AA0F1C2" w14:textId="355DCA9F" w:rsidR="00A01FC0" w:rsidRPr="00160D7F" w:rsidRDefault="002F2099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b/>
                <w:sz w:val="20"/>
                <w:highlight w:val="yellow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Rizika</w:t>
            </w:r>
          </w:p>
        </w:tc>
      </w:tr>
      <w:tr w:rsidR="00A01FC0" w:rsidRPr="0058573E" w14:paraId="2D20D61B" w14:textId="77777777" w:rsidTr="008241B2">
        <w:trPr>
          <w:trHeight w:val="1384"/>
        </w:trPr>
        <w:tc>
          <w:tcPr>
            <w:tcW w:w="2500" w:type="pct"/>
          </w:tcPr>
          <w:p w14:paraId="11D38841" w14:textId="602A1359" w:rsidR="008241B2" w:rsidRPr="008241B2" w:rsidRDefault="008241B2" w:rsidP="00421BBC">
            <w:pPr>
              <w:pStyle w:val="Bezmezer"/>
              <w:numPr>
                <w:ilvl w:val="0"/>
                <w:numId w:val="6"/>
              </w:numPr>
              <w:spacing w:before="60" w:after="60"/>
              <w:ind w:left="449" w:right="37"/>
              <w:jc w:val="left"/>
              <w:rPr>
                <w:rFonts w:ascii="Arial" w:hAnsi="Arial" w:cs="Arial"/>
                <w:sz w:val="20"/>
              </w:rPr>
            </w:pPr>
            <w:r w:rsidRPr="008241B2">
              <w:rPr>
                <w:rFonts w:ascii="Arial" w:hAnsi="Arial" w:cs="Arial"/>
                <w:sz w:val="20"/>
              </w:rPr>
              <w:t xml:space="preserve">Navázání dlouhodobější spolupráce </w:t>
            </w:r>
            <w:r>
              <w:rPr>
                <w:rFonts w:ascii="Arial" w:hAnsi="Arial" w:cs="Arial"/>
                <w:sz w:val="20"/>
              </w:rPr>
              <w:br/>
            </w:r>
            <w:r w:rsidRPr="008241B2">
              <w:rPr>
                <w:rFonts w:ascii="Arial" w:hAnsi="Arial" w:cs="Arial"/>
                <w:sz w:val="20"/>
              </w:rPr>
              <w:t xml:space="preserve">se zahraničními institucemi v oboru </w:t>
            </w:r>
            <w:r>
              <w:rPr>
                <w:rFonts w:ascii="Arial" w:hAnsi="Arial" w:cs="Arial"/>
                <w:sz w:val="20"/>
              </w:rPr>
              <w:br/>
            </w:r>
            <w:r w:rsidRPr="008241B2">
              <w:rPr>
                <w:rFonts w:ascii="Arial" w:hAnsi="Arial" w:cs="Arial"/>
                <w:sz w:val="20"/>
              </w:rPr>
              <w:t>v západní Evropě.</w:t>
            </w:r>
          </w:p>
          <w:p w14:paraId="37D6CC38" w14:textId="77777777" w:rsidR="00540648" w:rsidRDefault="008241B2" w:rsidP="00421BBC">
            <w:pPr>
              <w:pStyle w:val="Bezmezer"/>
              <w:numPr>
                <w:ilvl w:val="0"/>
                <w:numId w:val="6"/>
              </w:numPr>
              <w:spacing w:before="60" w:after="60"/>
              <w:ind w:left="449" w:right="37"/>
              <w:jc w:val="left"/>
              <w:rPr>
                <w:rFonts w:ascii="Arial" w:hAnsi="Arial" w:cs="Arial"/>
                <w:sz w:val="20"/>
              </w:rPr>
            </w:pPr>
            <w:r w:rsidRPr="008241B2">
              <w:rPr>
                <w:rFonts w:ascii="Arial" w:hAnsi="Arial" w:cs="Arial"/>
                <w:sz w:val="20"/>
              </w:rPr>
              <w:t>Využívání dalších projektových výzev např. TA ČR, ministerské projekty apod.</w:t>
            </w:r>
          </w:p>
          <w:p w14:paraId="3639D5EC" w14:textId="179A7530" w:rsidR="006A27E7" w:rsidRPr="008241B2" w:rsidRDefault="006A27E7" w:rsidP="00421BBC">
            <w:pPr>
              <w:pStyle w:val="Bezmezer"/>
              <w:numPr>
                <w:ilvl w:val="0"/>
                <w:numId w:val="6"/>
              </w:numPr>
              <w:spacing w:before="60" w:after="60"/>
              <w:ind w:left="449" w:right="37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Možnosti smluvního výzkumu.</w:t>
            </w:r>
          </w:p>
        </w:tc>
        <w:tc>
          <w:tcPr>
            <w:tcW w:w="2500" w:type="pct"/>
          </w:tcPr>
          <w:p w14:paraId="7A1DE8A8" w14:textId="469B3795" w:rsidR="0031254C" w:rsidRPr="008241B2" w:rsidRDefault="008241B2" w:rsidP="008241B2">
            <w:pPr>
              <w:pStyle w:val="Bezmezer"/>
              <w:numPr>
                <w:ilvl w:val="0"/>
                <w:numId w:val="7"/>
              </w:numPr>
              <w:spacing w:before="60" w:after="60"/>
              <w:ind w:left="318" w:right="22" w:hanging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Legislativní opatření vedoucí k nižší uplatnitelnosti absolventů (novelizace zákona o sociálních službách a zákona </w:t>
            </w:r>
            <w:r>
              <w:rPr>
                <w:rFonts w:ascii="Arial" w:hAnsi="Arial" w:cs="Arial"/>
                <w:sz w:val="20"/>
              </w:rPr>
              <w:br/>
              <w:t>o pedagogických pracovních).</w:t>
            </w:r>
          </w:p>
          <w:p w14:paraId="68735F6D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</w:tc>
      </w:tr>
    </w:tbl>
    <w:p w14:paraId="06734902" w14:textId="77777777" w:rsidR="00F4133D" w:rsidRDefault="00F4133D" w:rsidP="00F4133D">
      <w:pPr>
        <w:rPr>
          <w:rFonts w:eastAsia="Times New Roman" w:cs="Arial"/>
          <w:color w:val="000000"/>
          <w:sz w:val="16"/>
          <w:szCs w:val="16"/>
          <w:lang w:eastAsia="cs-CZ"/>
        </w:rPr>
      </w:pPr>
    </w:p>
    <w:p w14:paraId="4AB7C0FB" w14:textId="78DAC023" w:rsidR="00F4133D" w:rsidRPr="005533D1" w:rsidRDefault="00F4133D" w:rsidP="007451A3">
      <w:pPr>
        <w:rPr>
          <w:rFonts w:cs="Arial"/>
        </w:rPr>
      </w:pPr>
      <w:r w:rsidRPr="00EF6201">
        <w:rPr>
          <w:rFonts w:eastAsia="Times New Roman" w:cs="Arial"/>
          <w:color w:val="000000"/>
          <w:sz w:val="16"/>
          <w:szCs w:val="16"/>
          <w:lang w:eastAsia="cs-CZ"/>
        </w:rPr>
        <w:t>Poznámky:</w:t>
      </w:r>
      <w:r w:rsidR="007451A3">
        <w:rPr>
          <w:rFonts w:eastAsia="Times New Roman" w:cs="Arial"/>
          <w:color w:val="000000"/>
          <w:sz w:val="16"/>
          <w:szCs w:val="16"/>
          <w:lang w:eastAsia="cs-CZ"/>
        </w:rPr>
        <w:t xml:space="preserve"> </w:t>
      </w:r>
      <w:r>
        <w:rPr>
          <w:rFonts w:eastAsia="Times New Roman" w:cs="Arial"/>
          <w:color w:val="000000"/>
          <w:sz w:val="16"/>
          <w:szCs w:val="16"/>
          <w:lang w:eastAsia="cs-CZ"/>
        </w:rPr>
        <w:t xml:space="preserve">Proveďte shrnutí se zřetelem k bodům </w:t>
      </w:r>
      <w:r w:rsidR="00FA1D1D">
        <w:rPr>
          <w:rFonts w:eastAsia="Times New Roman" w:cs="Arial"/>
          <w:color w:val="000000"/>
          <w:sz w:val="16"/>
          <w:szCs w:val="16"/>
          <w:lang w:eastAsia="cs-CZ"/>
        </w:rPr>
        <w:t xml:space="preserve">1 </w:t>
      </w:r>
      <w:r>
        <w:rPr>
          <w:rFonts w:eastAsia="Times New Roman" w:cs="Arial"/>
          <w:color w:val="000000"/>
          <w:sz w:val="16"/>
          <w:szCs w:val="16"/>
          <w:lang w:eastAsia="cs-CZ"/>
        </w:rPr>
        <w:t xml:space="preserve">až </w:t>
      </w:r>
      <w:r w:rsidR="00FA1D1D">
        <w:rPr>
          <w:rFonts w:eastAsia="Times New Roman" w:cs="Arial"/>
          <w:color w:val="000000"/>
          <w:sz w:val="16"/>
          <w:szCs w:val="16"/>
          <w:lang w:eastAsia="cs-CZ"/>
        </w:rPr>
        <w:t>9</w:t>
      </w:r>
      <w:r w:rsidR="00540648">
        <w:rPr>
          <w:rFonts w:eastAsia="Times New Roman" w:cs="Arial"/>
          <w:color w:val="000000"/>
          <w:sz w:val="16"/>
          <w:szCs w:val="16"/>
          <w:lang w:eastAsia="cs-CZ"/>
        </w:rPr>
        <w:t>.</w:t>
      </w:r>
    </w:p>
    <w:p w14:paraId="5FC286CC" w14:textId="77777777" w:rsidR="00AA27FD" w:rsidRDefault="00AA27FD" w:rsidP="00AA27FD">
      <w:pPr>
        <w:pStyle w:val="Bezmezer"/>
        <w:ind w:right="283"/>
        <w:rPr>
          <w:rFonts w:ascii="Arial" w:hAnsi="Arial" w:cs="Arial"/>
        </w:rPr>
      </w:pPr>
    </w:p>
    <w:p w14:paraId="44BA3AC4" w14:textId="7FC315A6" w:rsidR="007451A3" w:rsidRDefault="007451A3">
      <w:pPr>
        <w:spacing w:after="160" w:line="259" w:lineRule="auto"/>
        <w:rPr>
          <w:rFonts w:cs="Arial"/>
          <w:sz w:val="22"/>
        </w:rPr>
      </w:pPr>
    </w:p>
    <w:p w14:paraId="7A227AE9" w14:textId="409D3DFC" w:rsidR="007451A3" w:rsidRDefault="007451A3">
      <w:pPr>
        <w:spacing w:after="160" w:line="259" w:lineRule="auto"/>
        <w:rPr>
          <w:rFonts w:cs="Arial"/>
          <w:sz w:val="22"/>
        </w:rPr>
      </w:pPr>
      <w:r>
        <w:rPr>
          <w:rFonts w:cs="Arial"/>
          <w:sz w:val="22"/>
        </w:rPr>
        <w:br w:type="page"/>
      </w:r>
    </w:p>
    <w:p w14:paraId="6B5FBD78" w14:textId="77777777" w:rsidR="007451A3" w:rsidRDefault="007451A3">
      <w:pPr>
        <w:spacing w:after="160" w:line="259" w:lineRule="auto"/>
        <w:rPr>
          <w:rFonts w:cs="Arial"/>
          <w:sz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7451A3" w:rsidRPr="0058573E" w14:paraId="561733CB" w14:textId="77777777" w:rsidTr="00D7734D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034D13D8" w14:textId="539CD8EE" w:rsidR="007451A3" w:rsidRPr="00EE039E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Opatření pro rozvoj SP v příštích třech letech </w:t>
            </w:r>
          </w:p>
          <w:p w14:paraId="3EFEF559" w14:textId="24DAE67B" w:rsidR="007451A3" w:rsidRPr="00AC4575" w:rsidRDefault="007451A3" w:rsidP="007451A3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popis opatření vyvozených z analýzy realizace SP za poslední tři roky, která budou přijata pro rozvoj SP)</w:t>
            </w:r>
          </w:p>
        </w:tc>
      </w:tr>
      <w:tr w:rsidR="007451A3" w:rsidRPr="0058573E" w14:paraId="14676482" w14:textId="77777777" w:rsidTr="00D7734D">
        <w:trPr>
          <w:trHeight w:val="2497"/>
        </w:trPr>
        <w:tc>
          <w:tcPr>
            <w:tcW w:w="9040" w:type="dxa"/>
          </w:tcPr>
          <w:p w14:paraId="4BB247D5" w14:textId="77777777" w:rsidR="006A27E7" w:rsidRDefault="008241B2" w:rsidP="00F83ED7">
            <w:pPr>
              <w:pStyle w:val="Bezmezer"/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Opatření směřující k rozvoji studijního programu Sociální pedagogika směřují do několika oblastí.</w:t>
            </w:r>
          </w:p>
          <w:p w14:paraId="2D2F2FED" w14:textId="38F28A59" w:rsidR="00F83ED7" w:rsidRDefault="008241B2" w:rsidP="00F83ED7">
            <w:pPr>
              <w:pStyle w:val="Bezmezer"/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 w:rsidR="00F83ED7"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t xml:space="preserve">1. Personální </w:t>
            </w:r>
            <w:r w:rsidR="002324EE">
              <w:rPr>
                <w:rFonts w:ascii="Arial" w:hAnsi="Arial" w:cs="Arial"/>
                <w:sz w:val="20"/>
              </w:rPr>
              <w:t xml:space="preserve">oblast. Jedná se o to, aby vyučované předměty byly i nadále zajištěny odborníky </w:t>
            </w:r>
            <w:r w:rsidR="002324EE">
              <w:rPr>
                <w:rFonts w:ascii="Arial" w:hAnsi="Arial" w:cs="Arial"/>
                <w:sz w:val="20"/>
              </w:rPr>
              <w:br/>
              <w:t xml:space="preserve">na danou oblast. V této souvislosti bude pokračovat podpora akademických pracovníků v jejich kvalifikačním růstu. Tato podpora bude nastavena na základě individuálních konzultací s jednotlivými pracovníky. Předpokládá se, že podpora kvalifikačního růstu a rozvoje dovedností bude směřovat </w:t>
            </w:r>
            <w:r w:rsidR="00F83ED7">
              <w:rPr>
                <w:rFonts w:ascii="Arial" w:hAnsi="Arial" w:cs="Arial"/>
                <w:sz w:val="20"/>
              </w:rPr>
              <w:br/>
            </w:r>
            <w:r w:rsidR="002324EE">
              <w:rPr>
                <w:rFonts w:ascii="Arial" w:hAnsi="Arial" w:cs="Arial"/>
                <w:sz w:val="20"/>
              </w:rPr>
              <w:t xml:space="preserve">do možností absolvovat zahraniční stáže, absolvovat další vzdělávání (např. kurzy v oblasti metodologie, kurzy vysokoškolské didaktiky). </w:t>
            </w:r>
          </w:p>
          <w:p w14:paraId="2EEE642D" w14:textId="06B2E7BD" w:rsidR="00F83ED7" w:rsidRDefault="002324EE" w:rsidP="00F83ED7">
            <w:pPr>
              <w:pStyle w:val="Bezmezer"/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 Inovace studijního plánu, metod a forem výuky. S ohledem na hodnocení kvality výuky, na měnící se požadavky trhu práce a nové trendy ve vysokoškolské pedagogice bude průběžně docházet k inovaci předmětů (cílů i obsahů),</w:t>
            </w:r>
            <w:r w:rsidR="006A27E7">
              <w:rPr>
                <w:rFonts w:ascii="Arial" w:hAnsi="Arial" w:cs="Arial"/>
                <w:sz w:val="20"/>
              </w:rPr>
              <w:t xml:space="preserve"> k</w:t>
            </w:r>
            <w:r>
              <w:rPr>
                <w:rFonts w:ascii="Arial" w:hAnsi="Arial" w:cs="Arial"/>
                <w:sz w:val="20"/>
              </w:rPr>
              <w:t xml:space="preserve"> inovaci metod a forem výuky. </w:t>
            </w:r>
          </w:p>
          <w:p w14:paraId="127E95AC" w14:textId="7155DB98" w:rsidR="002324EE" w:rsidRDefault="002324EE" w:rsidP="00F83ED7">
            <w:pPr>
              <w:pStyle w:val="Bezmezer"/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3. </w:t>
            </w:r>
            <w:r w:rsidR="00F83ED7">
              <w:rPr>
                <w:rFonts w:ascii="Arial" w:hAnsi="Arial" w:cs="Arial"/>
                <w:sz w:val="20"/>
              </w:rPr>
              <w:t>Zahraniční spolupráce. V této oblasti bude zintenzivněna aktivita směřující k tomu, aby pracoviště mělo dlouhodobého zahraničního partnera v oblasti sociální pedagogiky, se kterým bude možná spolupráce jak v oblasti pedagogické, tak v oblasti výzkumné.</w:t>
            </w:r>
          </w:p>
          <w:p w14:paraId="740986D6" w14:textId="5EB02FFF" w:rsidR="00F83ED7" w:rsidRDefault="00F83ED7" w:rsidP="006A27E7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4. Výzkumná oblast. Pracovišti se dosud daří získávat významné grantové projekty (GA ČR), </w:t>
            </w:r>
            <w:r w:rsidR="006A27E7"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t>které jsou v oboru sociální pedagogika velmi ceněné. S ohledem na velmi dobrou spolupráci s praxí, bude pozornost věnována získávání projektů v oblasti aplikovaného výzkumu.</w:t>
            </w:r>
          </w:p>
          <w:p w14:paraId="71BB9FAD" w14:textId="3953A44E" w:rsidR="007451A3" w:rsidRDefault="00F83ED7" w:rsidP="006A27E7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5. Oblast spolupráce s praxí. Přesto, že hodnocený studijní program je akademicky zaměřen, </w:t>
            </w:r>
            <w:r w:rsidR="00D9744B"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t>je nutné udržet velmi dobrou spolupráci s organizacemi a institucemi, které</w:t>
            </w:r>
            <w:r w:rsidR="006A27E7">
              <w:rPr>
                <w:rFonts w:ascii="Arial" w:hAnsi="Arial" w:cs="Arial"/>
                <w:sz w:val="20"/>
              </w:rPr>
              <w:t xml:space="preserve"> v oblasti sociální pedagogiky působí a využívat možností např. smluvního výzkumu.</w:t>
            </w:r>
          </w:p>
          <w:p w14:paraId="7576ECB5" w14:textId="77777777" w:rsidR="006A27E7" w:rsidRDefault="006A27E7" w:rsidP="006A27E7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</w:p>
          <w:p w14:paraId="5C0D0A3B" w14:textId="767CEF6D" w:rsidR="006A27E7" w:rsidRDefault="006A27E7" w:rsidP="00824468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 slabým stránkám prozatím patří větší míra fluktuace pr</w:t>
            </w:r>
            <w:r w:rsidR="00047F10">
              <w:rPr>
                <w:rFonts w:ascii="Arial" w:hAnsi="Arial" w:cs="Arial"/>
                <w:sz w:val="20"/>
              </w:rPr>
              <w:t xml:space="preserve">acovníků z důvodu odchodů </w:t>
            </w:r>
            <w:r w:rsidR="00047F10">
              <w:rPr>
                <w:rFonts w:ascii="Arial" w:hAnsi="Arial" w:cs="Arial"/>
                <w:sz w:val="20"/>
              </w:rPr>
              <w:br/>
              <w:t>na mateřskou/rodičovskou dovolenou</w:t>
            </w:r>
            <w:r>
              <w:rPr>
                <w:rFonts w:ascii="Arial" w:hAnsi="Arial" w:cs="Arial"/>
                <w:sz w:val="20"/>
              </w:rPr>
              <w:t>. V příštích letech očekáváme nižší míru flu</w:t>
            </w:r>
            <w:r w:rsidR="00047F10">
              <w:rPr>
                <w:rFonts w:ascii="Arial" w:hAnsi="Arial" w:cs="Arial"/>
                <w:sz w:val="20"/>
              </w:rPr>
              <w:t xml:space="preserve">ktuace pracovníků. Toto povede  </w:t>
            </w:r>
            <w:r>
              <w:rPr>
                <w:rFonts w:ascii="Arial" w:hAnsi="Arial" w:cs="Arial"/>
                <w:sz w:val="20"/>
              </w:rPr>
              <w:t>ke zvýšení</w:t>
            </w:r>
            <w:r w:rsidR="00231DC3">
              <w:rPr>
                <w:rFonts w:ascii="Arial" w:hAnsi="Arial" w:cs="Arial"/>
                <w:sz w:val="20"/>
              </w:rPr>
              <w:t xml:space="preserve"> publikační činnosti pracovníků.</w:t>
            </w:r>
          </w:p>
          <w:p w14:paraId="7B4E4E8D" w14:textId="77777777" w:rsidR="006A27E7" w:rsidRDefault="006A27E7" w:rsidP="00824468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</w:p>
          <w:p w14:paraId="3DA8EBB5" w14:textId="7A573045" w:rsidR="006A27E7" w:rsidRPr="0058573E" w:rsidRDefault="006A27E7" w:rsidP="006A27E7">
            <w:pPr>
              <w:pStyle w:val="Bezmezer"/>
              <w:spacing w:before="40" w:after="40"/>
              <w:ind w:right="1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Snaha o minimalizaci rizika nevhodných legislativních zásahů do klíčových předpisů souvisejících s uplatněním absolventů bude probíhat prostřednictvím Asociace vzdělavatelů v sociální pedagogice a Asociace sociálních pedagogů, jakožto subjektů, které mají potenciál vést jednání s ministerstvy </w:t>
            </w:r>
            <w:r w:rsidR="00824468"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t>a zákono</w:t>
            </w:r>
            <w:r w:rsidR="00173E13">
              <w:rPr>
                <w:rFonts w:ascii="Arial" w:hAnsi="Arial" w:cs="Arial"/>
                <w:sz w:val="20"/>
              </w:rPr>
              <w:t>dárci.</w:t>
            </w:r>
          </w:p>
        </w:tc>
      </w:tr>
    </w:tbl>
    <w:p w14:paraId="7D096D2A" w14:textId="77777777" w:rsidR="00844938" w:rsidRDefault="00844938" w:rsidP="00A6284C">
      <w:pPr>
        <w:pStyle w:val="Bezmezer"/>
        <w:ind w:right="283"/>
        <w:rPr>
          <w:rFonts w:ascii="Arial" w:hAnsi="Arial" w:cs="Arial"/>
        </w:rPr>
      </w:pPr>
    </w:p>
    <w:p w14:paraId="7A73EA6D" w14:textId="0B299B2B" w:rsidR="007451A3" w:rsidRPr="005533D1" w:rsidRDefault="007451A3" w:rsidP="007451A3">
      <w:pPr>
        <w:rPr>
          <w:rFonts w:cs="Arial"/>
        </w:rPr>
      </w:pPr>
      <w:r w:rsidRPr="00EF6201">
        <w:rPr>
          <w:rFonts w:eastAsia="Times New Roman" w:cs="Arial"/>
          <w:color w:val="000000"/>
          <w:sz w:val="16"/>
          <w:szCs w:val="16"/>
          <w:lang w:eastAsia="cs-CZ"/>
        </w:rPr>
        <w:t>Poznámky:</w:t>
      </w:r>
      <w:r>
        <w:rPr>
          <w:rFonts w:eastAsia="Times New Roman" w:cs="Arial"/>
          <w:color w:val="000000"/>
          <w:sz w:val="16"/>
          <w:szCs w:val="16"/>
          <w:lang w:eastAsia="cs-CZ"/>
        </w:rPr>
        <w:t xml:space="preserve"> Uveďte opatření k rozvoji SP vzhledem k analýze v rámci části 10.)</w:t>
      </w:r>
    </w:p>
    <w:p w14:paraId="376D584E" w14:textId="42135588" w:rsidR="00844938" w:rsidRDefault="00844938" w:rsidP="00A6284C">
      <w:pPr>
        <w:pStyle w:val="Bezmezer"/>
        <w:ind w:right="283"/>
        <w:rPr>
          <w:rFonts w:ascii="Arial" w:hAnsi="Arial" w:cs="Arial"/>
        </w:rPr>
      </w:pPr>
    </w:p>
    <w:p w14:paraId="7AC50C82" w14:textId="22CE913E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69A6B962" w14:textId="18EE720B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0E99D8E8" w14:textId="44BF8744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02B51B3E" w14:textId="0719D404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04E74CD0" w14:textId="77777777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78E17FC6" w14:textId="77777777" w:rsidR="00A6284C" w:rsidRDefault="0031254C" w:rsidP="00A6284C">
      <w:pPr>
        <w:pStyle w:val="Bezmezer"/>
        <w:ind w:right="283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DEFCE28" w14:textId="77777777" w:rsidR="00A6284C" w:rsidRPr="0058573E" w:rsidRDefault="0031254C" w:rsidP="00A6284C">
      <w:pPr>
        <w:pStyle w:val="Bezmezer"/>
        <w:ind w:right="283"/>
        <w:rPr>
          <w:rFonts w:ascii="Arial" w:hAnsi="Arial" w:cs="Arial"/>
          <w:sz w:val="20"/>
        </w:rPr>
      </w:pPr>
      <w:r w:rsidRPr="0058573E">
        <w:rPr>
          <w:rFonts w:ascii="Arial" w:hAnsi="Arial" w:cs="Arial"/>
          <w:sz w:val="20"/>
        </w:rPr>
        <w:t>………………………..</w:t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  <w:t>………………………………………...</w:t>
      </w:r>
    </w:p>
    <w:p w14:paraId="73C4BEDA" w14:textId="6F5D9519" w:rsidR="00A6284C" w:rsidRPr="0058573E" w:rsidRDefault="0031254C" w:rsidP="00A6284C">
      <w:pPr>
        <w:pStyle w:val="Bezmezer"/>
        <w:ind w:right="283"/>
        <w:rPr>
          <w:rFonts w:ascii="Arial" w:hAnsi="Arial" w:cs="Arial"/>
          <w:sz w:val="20"/>
        </w:rPr>
      </w:pPr>
      <w:r w:rsidRPr="0058573E">
        <w:rPr>
          <w:rFonts w:ascii="Arial" w:hAnsi="Arial" w:cs="Arial"/>
          <w:sz w:val="20"/>
        </w:rPr>
        <w:t>Datum</w:t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  <w:t>Podpis garanta studijního programu</w:t>
      </w:r>
    </w:p>
    <w:p w14:paraId="5DDAA7CE" w14:textId="77777777" w:rsidR="00A6284C" w:rsidRDefault="00A6284C" w:rsidP="00A6284C">
      <w:pPr>
        <w:pStyle w:val="Bezmezer"/>
        <w:ind w:right="283"/>
        <w:rPr>
          <w:rFonts w:ascii="Arial" w:hAnsi="Arial" w:cs="Arial"/>
        </w:rPr>
      </w:pPr>
    </w:p>
    <w:p w14:paraId="2864785B" w14:textId="77777777" w:rsidR="00A6284C" w:rsidRDefault="00A6284C" w:rsidP="00A6284C">
      <w:pPr>
        <w:pStyle w:val="Bezmezer"/>
        <w:ind w:right="283"/>
        <w:rPr>
          <w:rFonts w:ascii="Arial" w:hAnsi="Arial" w:cs="Arial"/>
        </w:rPr>
      </w:pPr>
    </w:p>
    <w:p w14:paraId="316A11D4" w14:textId="77777777" w:rsidR="001463DE" w:rsidRDefault="001463DE"/>
    <w:sectPr w:rsidR="001463DE" w:rsidSect="002A3C5B"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A2E348" w14:textId="77777777" w:rsidR="005172F7" w:rsidRDefault="005172F7" w:rsidP="00A24846">
      <w:r>
        <w:separator/>
      </w:r>
    </w:p>
  </w:endnote>
  <w:endnote w:type="continuationSeparator" w:id="0">
    <w:p w14:paraId="2F2DC3FE" w14:textId="77777777" w:rsidR="005172F7" w:rsidRDefault="005172F7" w:rsidP="00A2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5201153"/>
      <w:docPartObj>
        <w:docPartGallery w:val="Page Numbers (Bottom of Page)"/>
        <w:docPartUnique/>
      </w:docPartObj>
    </w:sdtPr>
    <w:sdtEndPr/>
    <w:sdtContent>
      <w:p w14:paraId="2926DBB8" w14:textId="0D4E16DC" w:rsidR="0073476A" w:rsidRDefault="0073476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0154">
          <w:rPr>
            <w:noProof/>
          </w:rPr>
          <w:t>11</w:t>
        </w:r>
        <w:r>
          <w:fldChar w:fldCharType="end"/>
        </w:r>
      </w:p>
    </w:sdtContent>
  </w:sdt>
  <w:p w14:paraId="0FE76E83" w14:textId="77777777" w:rsidR="0073476A" w:rsidRDefault="007347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46A1D" w14:textId="630007F3" w:rsidR="0073476A" w:rsidRDefault="0073476A" w:rsidP="0068593E">
    <w:pPr>
      <w:pStyle w:val="Zpat"/>
      <w:jc w:val="both"/>
    </w:pPr>
    <w:r w:rsidRPr="00083D8B">
      <w:rPr>
        <w:sz w:val="18"/>
        <w:szCs w:val="18"/>
      </w:rPr>
      <w:t>Formulář je platný</w:t>
    </w:r>
    <w:r>
      <w:rPr>
        <w:sz w:val="18"/>
        <w:szCs w:val="18"/>
      </w:rPr>
      <w:t xml:space="preserve"> pro</w:t>
    </w:r>
    <w:r w:rsidRPr="00083D8B">
      <w:rPr>
        <w:sz w:val="18"/>
        <w:szCs w:val="18"/>
      </w:rPr>
      <w:t xml:space="preserve"> </w:t>
    </w:r>
    <w:r>
      <w:rPr>
        <w:sz w:val="18"/>
        <w:szCs w:val="18"/>
      </w:rPr>
      <w:t xml:space="preserve">bakalářské, magisterské, navazující magisterské a doktorské </w:t>
    </w:r>
    <w:r w:rsidRPr="002A5AFF">
      <w:rPr>
        <w:sz w:val="18"/>
        <w:szCs w:val="18"/>
      </w:rPr>
      <w:t xml:space="preserve">studijní programy uskutečňované na základě akreditace udělené </w:t>
    </w:r>
    <w:r>
      <w:rPr>
        <w:sz w:val="18"/>
        <w:szCs w:val="18"/>
      </w:rPr>
      <w:t>NAÚ či RVH UTB v rámci Institucionální akreditace UTB ve Zlíně.</w:t>
    </w:r>
  </w:p>
  <w:p w14:paraId="1523CFAD" w14:textId="77777777" w:rsidR="0073476A" w:rsidRDefault="0073476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5732478"/>
      <w:docPartObj>
        <w:docPartGallery w:val="Page Numbers (Bottom of Page)"/>
        <w:docPartUnique/>
      </w:docPartObj>
    </w:sdtPr>
    <w:sdtEndPr/>
    <w:sdtContent>
      <w:p w14:paraId="38611251" w14:textId="7A0EB483" w:rsidR="0073476A" w:rsidRDefault="0073476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0154">
          <w:rPr>
            <w:noProof/>
          </w:rPr>
          <w:t>13</w:t>
        </w:r>
        <w:r>
          <w:fldChar w:fldCharType="end"/>
        </w:r>
      </w:p>
    </w:sdtContent>
  </w:sdt>
  <w:p w14:paraId="6500CBB9" w14:textId="77777777" w:rsidR="0073476A" w:rsidRDefault="007347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7F00F5" w14:textId="77777777" w:rsidR="005172F7" w:rsidRDefault="005172F7" w:rsidP="00A24846">
      <w:r>
        <w:separator/>
      </w:r>
    </w:p>
  </w:footnote>
  <w:footnote w:type="continuationSeparator" w:id="0">
    <w:p w14:paraId="405973BA" w14:textId="77777777" w:rsidR="005172F7" w:rsidRDefault="005172F7" w:rsidP="00A24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D6B52" w14:textId="77777777" w:rsidR="0073476A" w:rsidRDefault="007347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E3CB4"/>
    <w:multiLevelType w:val="hybridMultilevel"/>
    <w:tmpl w:val="1B76D9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A874A2"/>
    <w:multiLevelType w:val="hybridMultilevel"/>
    <w:tmpl w:val="0772FAA6"/>
    <w:lvl w:ilvl="0" w:tplc="6D2806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129AF4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B450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78D3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D2D2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3471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AC5C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0AFA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6EC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9FC3C15"/>
    <w:multiLevelType w:val="hybridMultilevel"/>
    <w:tmpl w:val="87D6AD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0D3A0A"/>
    <w:multiLevelType w:val="hybridMultilevel"/>
    <w:tmpl w:val="C0224D3A"/>
    <w:lvl w:ilvl="0" w:tplc="3F2A7C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676182"/>
    <w:multiLevelType w:val="hybridMultilevel"/>
    <w:tmpl w:val="3A7615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13E49"/>
    <w:multiLevelType w:val="hybridMultilevel"/>
    <w:tmpl w:val="D87485C8"/>
    <w:lvl w:ilvl="0" w:tplc="0A6AF33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8030A8"/>
    <w:multiLevelType w:val="hybridMultilevel"/>
    <w:tmpl w:val="A7CE0A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84C"/>
    <w:rsid w:val="00001CD1"/>
    <w:rsid w:val="00012E61"/>
    <w:rsid w:val="00015660"/>
    <w:rsid w:val="00017A44"/>
    <w:rsid w:val="00020A37"/>
    <w:rsid w:val="00024F8E"/>
    <w:rsid w:val="000259C2"/>
    <w:rsid w:val="000357FE"/>
    <w:rsid w:val="00036AAA"/>
    <w:rsid w:val="00036B5B"/>
    <w:rsid w:val="00041266"/>
    <w:rsid w:val="00041435"/>
    <w:rsid w:val="00047DA7"/>
    <w:rsid w:val="00047F10"/>
    <w:rsid w:val="00052181"/>
    <w:rsid w:val="00057B97"/>
    <w:rsid w:val="00063A28"/>
    <w:rsid w:val="00065C6E"/>
    <w:rsid w:val="0007025A"/>
    <w:rsid w:val="00072A84"/>
    <w:rsid w:val="00081C47"/>
    <w:rsid w:val="0008228C"/>
    <w:rsid w:val="00083D8B"/>
    <w:rsid w:val="000841F5"/>
    <w:rsid w:val="00087ACC"/>
    <w:rsid w:val="00090043"/>
    <w:rsid w:val="0009298E"/>
    <w:rsid w:val="000938A6"/>
    <w:rsid w:val="00095BCF"/>
    <w:rsid w:val="00096A70"/>
    <w:rsid w:val="00097E19"/>
    <w:rsid w:val="000A124A"/>
    <w:rsid w:val="000A37B7"/>
    <w:rsid w:val="000A57CD"/>
    <w:rsid w:val="000A61C5"/>
    <w:rsid w:val="000B48CA"/>
    <w:rsid w:val="000B4CB2"/>
    <w:rsid w:val="000B4D85"/>
    <w:rsid w:val="000B6D60"/>
    <w:rsid w:val="000B77EF"/>
    <w:rsid w:val="000C3DE7"/>
    <w:rsid w:val="000C5C02"/>
    <w:rsid w:val="000C7A4B"/>
    <w:rsid w:val="000D00A5"/>
    <w:rsid w:val="000D63BE"/>
    <w:rsid w:val="000D738A"/>
    <w:rsid w:val="000E112B"/>
    <w:rsid w:val="000E325B"/>
    <w:rsid w:val="000F15F7"/>
    <w:rsid w:val="000F4FB7"/>
    <w:rsid w:val="000F60E5"/>
    <w:rsid w:val="000F6523"/>
    <w:rsid w:val="00101C2D"/>
    <w:rsid w:val="00101E90"/>
    <w:rsid w:val="00104C9E"/>
    <w:rsid w:val="00106A4E"/>
    <w:rsid w:val="00114B31"/>
    <w:rsid w:val="0011589C"/>
    <w:rsid w:val="00115B8F"/>
    <w:rsid w:val="001168F2"/>
    <w:rsid w:val="0012127F"/>
    <w:rsid w:val="001226B8"/>
    <w:rsid w:val="00126BD9"/>
    <w:rsid w:val="0013018C"/>
    <w:rsid w:val="00133F8B"/>
    <w:rsid w:val="00136655"/>
    <w:rsid w:val="001369D5"/>
    <w:rsid w:val="001413D1"/>
    <w:rsid w:val="00141DCE"/>
    <w:rsid w:val="00144A0B"/>
    <w:rsid w:val="001463DE"/>
    <w:rsid w:val="00146594"/>
    <w:rsid w:val="00147BD1"/>
    <w:rsid w:val="001504F5"/>
    <w:rsid w:val="001530A4"/>
    <w:rsid w:val="00153A98"/>
    <w:rsid w:val="00156498"/>
    <w:rsid w:val="001575D5"/>
    <w:rsid w:val="00160D7F"/>
    <w:rsid w:val="00161E96"/>
    <w:rsid w:val="00163EBD"/>
    <w:rsid w:val="00163FC0"/>
    <w:rsid w:val="001664E7"/>
    <w:rsid w:val="001710EA"/>
    <w:rsid w:val="00172EAA"/>
    <w:rsid w:val="00173E13"/>
    <w:rsid w:val="00174FCA"/>
    <w:rsid w:val="00176CC5"/>
    <w:rsid w:val="00180C01"/>
    <w:rsid w:val="00181A6C"/>
    <w:rsid w:val="0018384D"/>
    <w:rsid w:val="001914EA"/>
    <w:rsid w:val="00193F5F"/>
    <w:rsid w:val="00194A08"/>
    <w:rsid w:val="00194F07"/>
    <w:rsid w:val="00197AFD"/>
    <w:rsid w:val="001A098F"/>
    <w:rsid w:val="001A1870"/>
    <w:rsid w:val="001A22B0"/>
    <w:rsid w:val="001B3793"/>
    <w:rsid w:val="001C35B6"/>
    <w:rsid w:val="001C5F57"/>
    <w:rsid w:val="001C61C6"/>
    <w:rsid w:val="001D25E4"/>
    <w:rsid w:val="001D597A"/>
    <w:rsid w:val="001E00AF"/>
    <w:rsid w:val="001E045C"/>
    <w:rsid w:val="001F1F8A"/>
    <w:rsid w:val="0020541C"/>
    <w:rsid w:val="0021568F"/>
    <w:rsid w:val="00216FF0"/>
    <w:rsid w:val="0021790C"/>
    <w:rsid w:val="00221B74"/>
    <w:rsid w:val="00225D15"/>
    <w:rsid w:val="00226DDE"/>
    <w:rsid w:val="00231DC3"/>
    <w:rsid w:val="002324EE"/>
    <w:rsid w:val="00235582"/>
    <w:rsid w:val="00245866"/>
    <w:rsid w:val="00255AA1"/>
    <w:rsid w:val="00256C85"/>
    <w:rsid w:val="002577DA"/>
    <w:rsid w:val="002610FF"/>
    <w:rsid w:val="002615D8"/>
    <w:rsid w:val="00262A7C"/>
    <w:rsid w:val="00262FEA"/>
    <w:rsid w:val="00265FBB"/>
    <w:rsid w:val="00275F2A"/>
    <w:rsid w:val="00285631"/>
    <w:rsid w:val="00297509"/>
    <w:rsid w:val="002A3C5B"/>
    <w:rsid w:val="002A5AFF"/>
    <w:rsid w:val="002B2669"/>
    <w:rsid w:val="002B4A83"/>
    <w:rsid w:val="002C1748"/>
    <w:rsid w:val="002C32D9"/>
    <w:rsid w:val="002C3DEE"/>
    <w:rsid w:val="002C68F5"/>
    <w:rsid w:val="002C71D4"/>
    <w:rsid w:val="002C7478"/>
    <w:rsid w:val="002D0EE9"/>
    <w:rsid w:val="002D2CDC"/>
    <w:rsid w:val="002D32DE"/>
    <w:rsid w:val="002D533D"/>
    <w:rsid w:val="002E0C02"/>
    <w:rsid w:val="002E4A96"/>
    <w:rsid w:val="002E6BFA"/>
    <w:rsid w:val="002F2099"/>
    <w:rsid w:val="002F66FA"/>
    <w:rsid w:val="002F7AC3"/>
    <w:rsid w:val="00304126"/>
    <w:rsid w:val="0031254C"/>
    <w:rsid w:val="00313E77"/>
    <w:rsid w:val="00325656"/>
    <w:rsid w:val="00326909"/>
    <w:rsid w:val="00331454"/>
    <w:rsid w:val="003319E5"/>
    <w:rsid w:val="00333C6F"/>
    <w:rsid w:val="003371F2"/>
    <w:rsid w:val="003403F1"/>
    <w:rsid w:val="00340895"/>
    <w:rsid w:val="00340F08"/>
    <w:rsid w:val="00344781"/>
    <w:rsid w:val="0034488A"/>
    <w:rsid w:val="00351142"/>
    <w:rsid w:val="003562B9"/>
    <w:rsid w:val="00357002"/>
    <w:rsid w:val="003607F1"/>
    <w:rsid w:val="00365DA2"/>
    <w:rsid w:val="00374EB7"/>
    <w:rsid w:val="0038767B"/>
    <w:rsid w:val="00390266"/>
    <w:rsid w:val="0039241C"/>
    <w:rsid w:val="00393FC0"/>
    <w:rsid w:val="003954B2"/>
    <w:rsid w:val="0039604B"/>
    <w:rsid w:val="003A042B"/>
    <w:rsid w:val="003A14C4"/>
    <w:rsid w:val="003A5467"/>
    <w:rsid w:val="003A5669"/>
    <w:rsid w:val="003B19CA"/>
    <w:rsid w:val="003B2961"/>
    <w:rsid w:val="003B4596"/>
    <w:rsid w:val="003B5422"/>
    <w:rsid w:val="003B6B3D"/>
    <w:rsid w:val="003B7688"/>
    <w:rsid w:val="003B7C06"/>
    <w:rsid w:val="003C074F"/>
    <w:rsid w:val="003D0633"/>
    <w:rsid w:val="003D1564"/>
    <w:rsid w:val="003D286E"/>
    <w:rsid w:val="003E2975"/>
    <w:rsid w:val="003E30D2"/>
    <w:rsid w:val="003E487E"/>
    <w:rsid w:val="003F4A11"/>
    <w:rsid w:val="003F6125"/>
    <w:rsid w:val="004031F3"/>
    <w:rsid w:val="00404F63"/>
    <w:rsid w:val="00406955"/>
    <w:rsid w:val="00410254"/>
    <w:rsid w:val="00417A02"/>
    <w:rsid w:val="00421BBC"/>
    <w:rsid w:val="00422D19"/>
    <w:rsid w:val="004251E2"/>
    <w:rsid w:val="00426F15"/>
    <w:rsid w:val="0043058D"/>
    <w:rsid w:val="004330F3"/>
    <w:rsid w:val="0043501D"/>
    <w:rsid w:val="004358A2"/>
    <w:rsid w:val="00444245"/>
    <w:rsid w:val="004467BD"/>
    <w:rsid w:val="004602B6"/>
    <w:rsid w:val="0046767D"/>
    <w:rsid w:val="00473E7C"/>
    <w:rsid w:val="00475E32"/>
    <w:rsid w:val="00476EC0"/>
    <w:rsid w:val="004835DA"/>
    <w:rsid w:val="00487418"/>
    <w:rsid w:val="0049438E"/>
    <w:rsid w:val="004958B7"/>
    <w:rsid w:val="00497C82"/>
    <w:rsid w:val="004A2FB3"/>
    <w:rsid w:val="004A3DD1"/>
    <w:rsid w:val="004A53A2"/>
    <w:rsid w:val="004B27A4"/>
    <w:rsid w:val="004B338A"/>
    <w:rsid w:val="004B620D"/>
    <w:rsid w:val="004B789E"/>
    <w:rsid w:val="004C2425"/>
    <w:rsid w:val="004C69E7"/>
    <w:rsid w:val="004D2B1E"/>
    <w:rsid w:val="004D4629"/>
    <w:rsid w:val="004D4B61"/>
    <w:rsid w:val="004D6159"/>
    <w:rsid w:val="004D7566"/>
    <w:rsid w:val="004E60E2"/>
    <w:rsid w:val="004E7679"/>
    <w:rsid w:val="004F1AC1"/>
    <w:rsid w:val="004F1E4D"/>
    <w:rsid w:val="004F3D4B"/>
    <w:rsid w:val="005172F7"/>
    <w:rsid w:val="00520DBD"/>
    <w:rsid w:val="005242E9"/>
    <w:rsid w:val="00526907"/>
    <w:rsid w:val="005320DB"/>
    <w:rsid w:val="00534AC7"/>
    <w:rsid w:val="005405C0"/>
    <w:rsid w:val="00540648"/>
    <w:rsid w:val="00542EA8"/>
    <w:rsid w:val="0054593A"/>
    <w:rsid w:val="00546021"/>
    <w:rsid w:val="005533D1"/>
    <w:rsid w:val="005535D9"/>
    <w:rsid w:val="0055476D"/>
    <w:rsid w:val="00555C80"/>
    <w:rsid w:val="005604D9"/>
    <w:rsid w:val="00561172"/>
    <w:rsid w:val="0057118F"/>
    <w:rsid w:val="005733E4"/>
    <w:rsid w:val="00573BD1"/>
    <w:rsid w:val="005748FC"/>
    <w:rsid w:val="005802F2"/>
    <w:rsid w:val="00581F99"/>
    <w:rsid w:val="00583508"/>
    <w:rsid w:val="00584C31"/>
    <w:rsid w:val="0058539C"/>
    <w:rsid w:val="0058573E"/>
    <w:rsid w:val="0058794E"/>
    <w:rsid w:val="00595A2D"/>
    <w:rsid w:val="005A3B22"/>
    <w:rsid w:val="005A4040"/>
    <w:rsid w:val="005B155E"/>
    <w:rsid w:val="005B27B9"/>
    <w:rsid w:val="005B2902"/>
    <w:rsid w:val="005B3A19"/>
    <w:rsid w:val="005C00BE"/>
    <w:rsid w:val="005D1AB3"/>
    <w:rsid w:val="005D3FB3"/>
    <w:rsid w:val="005D4298"/>
    <w:rsid w:val="005D65E8"/>
    <w:rsid w:val="005D6D24"/>
    <w:rsid w:val="005E28E9"/>
    <w:rsid w:val="005E382C"/>
    <w:rsid w:val="005E3DA3"/>
    <w:rsid w:val="005E4928"/>
    <w:rsid w:val="005E6943"/>
    <w:rsid w:val="005E7838"/>
    <w:rsid w:val="005F35C8"/>
    <w:rsid w:val="005F3E2E"/>
    <w:rsid w:val="005F6222"/>
    <w:rsid w:val="005F7F4C"/>
    <w:rsid w:val="00604A55"/>
    <w:rsid w:val="006072F1"/>
    <w:rsid w:val="00614826"/>
    <w:rsid w:val="00617F9D"/>
    <w:rsid w:val="006203C4"/>
    <w:rsid w:val="0062052F"/>
    <w:rsid w:val="0063310C"/>
    <w:rsid w:val="006528C6"/>
    <w:rsid w:val="006603DC"/>
    <w:rsid w:val="006624F5"/>
    <w:rsid w:val="0066596C"/>
    <w:rsid w:val="0067206F"/>
    <w:rsid w:val="00677246"/>
    <w:rsid w:val="00680057"/>
    <w:rsid w:val="006821DA"/>
    <w:rsid w:val="00683560"/>
    <w:rsid w:val="00685577"/>
    <w:rsid w:val="0068593E"/>
    <w:rsid w:val="006867E0"/>
    <w:rsid w:val="00691411"/>
    <w:rsid w:val="00693DFC"/>
    <w:rsid w:val="006960C3"/>
    <w:rsid w:val="006965DC"/>
    <w:rsid w:val="006A27E7"/>
    <w:rsid w:val="006A3B7A"/>
    <w:rsid w:val="006A7421"/>
    <w:rsid w:val="006B3132"/>
    <w:rsid w:val="006B4318"/>
    <w:rsid w:val="006B45D8"/>
    <w:rsid w:val="006B4AEB"/>
    <w:rsid w:val="006B735B"/>
    <w:rsid w:val="006C26D8"/>
    <w:rsid w:val="006C2F13"/>
    <w:rsid w:val="006C3412"/>
    <w:rsid w:val="006C5ED8"/>
    <w:rsid w:val="006C7934"/>
    <w:rsid w:val="006D4080"/>
    <w:rsid w:val="006D5332"/>
    <w:rsid w:val="006D6D6C"/>
    <w:rsid w:val="006E04A4"/>
    <w:rsid w:val="007003E0"/>
    <w:rsid w:val="00706908"/>
    <w:rsid w:val="00710916"/>
    <w:rsid w:val="007136C3"/>
    <w:rsid w:val="00714A56"/>
    <w:rsid w:val="00724B13"/>
    <w:rsid w:val="0073125F"/>
    <w:rsid w:val="00731C0C"/>
    <w:rsid w:val="00731CAB"/>
    <w:rsid w:val="00732066"/>
    <w:rsid w:val="0073231D"/>
    <w:rsid w:val="00732C83"/>
    <w:rsid w:val="0073476A"/>
    <w:rsid w:val="00741C78"/>
    <w:rsid w:val="00743EE4"/>
    <w:rsid w:val="007451A3"/>
    <w:rsid w:val="00753E8C"/>
    <w:rsid w:val="00754ED0"/>
    <w:rsid w:val="00755614"/>
    <w:rsid w:val="00757CC9"/>
    <w:rsid w:val="007671AA"/>
    <w:rsid w:val="0077211C"/>
    <w:rsid w:val="00773B03"/>
    <w:rsid w:val="0077514E"/>
    <w:rsid w:val="00775C8C"/>
    <w:rsid w:val="00787426"/>
    <w:rsid w:val="00787F81"/>
    <w:rsid w:val="007932EF"/>
    <w:rsid w:val="007A07B5"/>
    <w:rsid w:val="007A3895"/>
    <w:rsid w:val="007A4B11"/>
    <w:rsid w:val="007A6500"/>
    <w:rsid w:val="007B06B9"/>
    <w:rsid w:val="007B1C6A"/>
    <w:rsid w:val="007C66A4"/>
    <w:rsid w:val="007D7814"/>
    <w:rsid w:val="007F0345"/>
    <w:rsid w:val="007F4D8B"/>
    <w:rsid w:val="007F6624"/>
    <w:rsid w:val="007F6F2D"/>
    <w:rsid w:val="007F7C4E"/>
    <w:rsid w:val="0080078A"/>
    <w:rsid w:val="00800A19"/>
    <w:rsid w:val="00800EC8"/>
    <w:rsid w:val="00800EE2"/>
    <w:rsid w:val="008013BA"/>
    <w:rsid w:val="00801E8E"/>
    <w:rsid w:val="008037C3"/>
    <w:rsid w:val="0080430D"/>
    <w:rsid w:val="00805795"/>
    <w:rsid w:val="00811827"/>
    <w:rsid w:val="00812D6D"/>
    <w:rsid w:val="008218DD"/>
    <w:rsid w:val="0082382F"/>
    <w:rsid w:val="008241B2"/>
    <w:rsid w:val="00824468"/>
    <w:rsid w:val="00825A1F"/>
    <w:rsid w:val="00833829"/>
    <w:rsid w:val="00834B47"/>
    <w:rsid w:val="008367B0"/>
    <w:rsid w:val="008430A6"/>
    <w:rsid w:val="00844938"/>
    <w:rsid w:val="00850F83"/>
    <w:rsid w:val="008554F2"/>
    <w:rsid w:val="00863765"/>
    <w:rsid w:val="008644D1"/>
    <w:rsid w:val="00865B13"/>
    <w:rsid w:val="00866F4D"/>
    <w:rsid w:val="00872328"/>
    <w:rsid w:val="008725C9"/>
    <w:rsid w:val="0087408C"/>
    <w:rsid w:val="00874904"/>
    <w:rsid w:val="00880052"/>
    <w:rsid w:val="00880861"/>
    <w:rsid w:val="00881556"/>
    <w:rsid w:val="00883AAF"/>
    <w:rsid w:val="00884D04"/>
    <w:rsid w:val="00885E22"/>
    <w:rsid w:val="00886C25"/>
    <w:rsid w:val="008920A5"/>
    <w:rsid w:val="00892B56"/>
    <w:rsid w:val="00896604"/>
    <w:rsid w:val="0089681B"/>
    <w:rsid w:val="008A0BB6"/>
    <w:rsid w:val="008B2305"/>
    <w:rsid w:val="008B275C"/>
    <w:rsid w:val="008C0AE7"/>
    <w:rsid w:val="008C2A1A"/>
    <w:rsid w:val="008C3587"/>
    <w:rsid w:val="008D1005"/>
    <w:rsid w:val="008E6088"/>
    <w:rsid w:val="008F132F"/>
    <w:rsid w:val="008F7697"/>
    <w:rsid w:val="008F7D88"/>
    <w:rsid w:val="00900855"/>
    <w:rsid w:val="0090269E"/>
    <w:rsid w:val="00913651"/>
    <w:rsid w:val="00913D3F"/>
    <w:rsid w:val="00924598"/>
    <w:rsid w:val="00930AA8"/>
    <w:rsid w:val="009326EC"/>
    <w:rsid w:val="0093358D"/>
    <w:rsid w:val="009455D3"/>
    <w:rsid w:val="00951FD6"/>
    <w:rsid w:val="00953A19"/>
    <w:rsid w:val="009540ED"/>
    <w:rsid w:val="009547A6"/>
    <w:rsid w:val="00957BAF"/>
    <w:rsid w:val="00961C70"/>
    <w:rsid w:val="00963BC1"/>
    <w:rsid w:val="0096494D"/>
    <w:rsid w:val="00965EA3"/>
    <w:rsid w:val="00970122"/>
    <w:rsid w:val="00970BC1"/>
    <w:rsid w:val="00970F25"/>
    <w:rsid w:val="00973A67"/>
    <w:rsid w:val="00975433"/>
    <w:rsid w:val="009772E2"/>
    <w:rsid w:val="00977383"/>
    <w:rsid w:val="00980011"/>
    <w:rsid w:val="00981008"/>
    <w:rsid w:val="00982B10"/>
    <w:rsid w:val="00986A97"/>
    <w:rsid w:val="009908D4"/>
    <w:rsid w:val="0099094F"/>
    <w:rsid w:val="00992900"/>
    <w:rsid w:val="009929B4"/>
    <w:rsid w:val="0099395E"/>
    <w:rsid w:val="009A07FC"/>
    <w:rsid w:val="009A1A4B"/>
    <w:rsid w:val="009A414A"/>
    <w:rsid w:val="009A4647"/>
    <w:rsid w:val="009A5732"/>
    <w:rsid w:val="009A5A6E"/>
    <w:rsid w:val="009A6380"/>
    <w:rsid w:val="009B273C"/>
    <w:rsid w:val="009C132D"/>
    <w:rsid w:val="009C1D66"/>
    <w:rsid w:val="009C571C"/>
    <w:rsid w:val="009C7185"/>
    <w:rsid w:val="009D1259"/>
    <w:rsid w:val="009D3E7F"/>
    <w:rsid w:val="009D5D17"/>
    <w:rsid w:val="009E02F9"/>
    <w:rsid w:val="009E6C07"/>
    <w:rsid w:val="009F0315"/>
    <w:rsid w:val="009F1B37"/>
    <w:rsid w:val="009F7E02"/>
    <w:rsid w:val="00A00080"/>
    <w:rsid w:val="00A01FC0"/>
    <w:rsid w:val="00A1314D"/>
    <w:rsid w:val="00A13FC2"/>
    <w:rsid w:val="00A14DB2"/>
    <w:rsid w:val="00A1617D"/>
    <w:rsid w:val="00A226AF"/>
    <w:rsid w:val="00A23A57"/>
    <w:rsid w:val="00A240BD"/>
    <w:rsid w:val="00A24846"/>
    <w:rsid w:val="00A31E10"/>
    <w:rsid w:val="00A403A5"/>
    <w:rsid w:val="00A42121"/>
    <w:rsid w:val="00A4334D"/>
    <w:rsid w:val="00A43A87"/>
    <w:rsid w:val="00A45BA5"/>
    <w:rsid w:val="00A515E4"/>
    <w:rsid w:val="00A52603"/>
    <w:rsid w:val="00A53E17"/>
    <w:rsid w:val="00A6284C"/>
    <w:rsid w:val="00A64555"/>
    <w:rsid w:val="00A66C46"/>
    <w:rsid w:val="00A66F6F"/>
    <w:rsid w:val="00A71FBF"/>
    <w:rsid w:val="00A76E5D"/>
    <w:rsid w:val="00A76FAF"/>
    <w:rsid w:val="00A80411"/>
    <w:rsid w:val="00A83E27"/>
    <w:rsid w:val="00A84159"/>
    <w:rsid w:val="00A86606"/>
    <w:rsid w:val="00A979D7"/>
    <w:rsid w:val="00AA129C"/>
    <w:rsid w:val="00AA180A"/>
    <w:rsid w:val="00AA27FD"/>
    <w:rsid w:val="00AB47F4"/>
    <w:rsid w:val="00AB59C7"/>
    <w:rsid w:val="00AB6677"/>
    <w:rsid w:val="00AC1466"/>
    <w:rsid w:val="00AC2434"/>
    <w:rsid w:val="00AC4575"/>
    <w:rsid w:val="00AD23F2"/>
    <w:rsid w:val="00AD527B"/>
    <w:rsid w:val="00AD5D71"/>
    <w:rsid w:val="00AE3610"/>
    <w:rsid w:val="00AE4C8A"/>
    <w:rsid w:val="00AF1722"/>
    <w:rsid w:val="00AF4443"/>
    <w:rsid w:val="00B01352"/>
    <w:rsid w:val="00B04FE2"/>
    <w:rsid w:val="00B05502"/>
    <w:rsid w:val="00B06F59"/>
    <w:rsid w:val="00B125F6"/>
    <w:rsid w:val="00B15158"/>
    <w:rsid w:val="00B16EB0"/>
    <w:rsid w:val="00B2708E"/>
    <w:rsid w:val="00B36F03"/>
    <w:rsid w:val="00B406B2"/>
    <w:rsid w:val="00B41571"/>
    <w:rsid w:val="00B42E5C"/>
    <w:rsid w:val="00B44194"/>
    <w:rsid w:val="00B446C8"/>
    <w:rsid w:val="00B44FEB"/>
    <w:rsid w:val="00B50F1E"/>
    <w:rsid w:val="00B52CC4"/>
    <w:rsid w:val="00B57498"/>
    <w:rsid w:val="00B57FDC"/>
    <w:rsid w:val="00B60471"/>
    <w:rsid w:val="00B60534"/>
    <w:rsid w:val="00B61735"/>
    <w:rsid w:val="00B61865"/>
    <w:rsid w:val="00B66BA7"/>
    <w:rsid w:val="00B71A98"/>
    <w:rsid w:val="00B769CE"/>
    <w:rsid w:val="00B805DB"/>
    <w:rsid w:val="00B828E6"/>
    <w:rsid w:val="00B91D40"/>
    <w:rsid w:val="00B92879"/>
    <w:rsid w:val="00B9490D"/>
    <w:rsid w:val="00BA3116"/>
    <w:rsid w:val="00BA482E"/>
    <w:rsid w:val="00BB1C65"/>
    <w:rsid w:val="00BB3668"/>
    <w:rsid w:val="00BB4F5E"/>
    <w:rsid w:val="00BB6179"/>
    <w:rsid w:val="00BB6422"/>
    <w:rsid w:val="00BC0187"/>
    <w:rsid w:val="00BC01E1"/>
    <w:rsid w:val="00BC2B1C"/>
    <w:rsid w:val="00BC3AD1"/>
    <w:rsid w:val="00BC5635"/>
    <w:rsid w:val="00BC56A0"/>
    <w:rsid w:val="00BC71F7"/>
    <w:rsid w:val="00BD1DF0"/>
    <w:rsid w:val="00BD26EE"/>
    <w:rsid w:val="00BD4A4E"/>
    <w:rsid w:val="00BD7170"/>
    <w:rsid w:val="00BE0780"/>
    <w:rsid w:val="00BE23EA"/>
    <w:rsid w:val="00BE26FC"/>
    <w:rsid w:val="00BF0154"/>
    <w:rsid w:val="00BF3B95"/>
    <w:rsid w:val="00BF69BF"/>
    <w:rsid w:val="00BF704A"/>
    <w:rsid w:val="00C01272"/>
    <w:rsid w:val="00C02D96"/>
    <w:rsid w:val="00C0472F"/>
    <w:rsid w:val="00C14227"/>
    <w:rsid w:val="00C14550"/>
    <w:rsid w:val="00C16822"/>
    <w:rsid w:val="00C17018"/>
    <w:rsid w:val="00C21CB4"/>
    <w:rsid w:val="00C26A25"/>
    <w:rsid w:val="00C30DA3"/>
    <w:rsid w:val="00C332C9"/>
    <w:rsid w:val="00C3406C"/>
    <w:rsid w:val="00C375D5"/>
    <w:rsid w:val="00C41779"/>
    <w:rsid w:val="00C445C2"/>
    <w:rsid w:val="00C470D0"/>
    <w:rsid w:val="00C47E77"/>
    <w:rsid w:val="00C5279F"/>
    <w:rsid w:val="00C53142"/>
    <w:rsid w:val="00C61955"/>
    <w:rsid w:val="00C620F3"/>
    <w:rsid w:val="00C72F0E"/>
    <w:rsid w:val="00C76982"/>
    <w:rsid w:val="00C77E7A"/>
    <w:rsid w:val="00C8013E"/>
    <w:rsid w:val="00C8766F"/>
    <w:rsid w:val="00C87B33"/>
    <w:rsid w:val="00C904AA"/>
    <w:rsid w:val="00C96148"/>
    <w:rsid w:val="00C96F3A"/>
    <w:rsid w:val="00C97504"/>
    <w:rsid w:val="00C97CE2"/>
    <w:rsid w:val="00CA1169"/>
    <w:rsid w:val="00CA19BF"/>
    <w:rsid w:val="00CA2346"/>
    <w:rsid w:val="00CA45C5"/>
    <w:rsid w:val="00CA6363"/>
    <w:rsid w:val="00CB47B9"/>
    <w:rsid w:val="00CB5D4B"/>
    <w:rsid w:val="00CB7AD1"/>
    <w:rsid w:val="00CC05E3"/>
    <w:rsid w:val="00CC3BF7"/>
    <w:rsid w:val="00CC3EBB"/>
    <w:rsid w:val="00CC4E66"/>
    <w:rsid w:val="00CD1011"/>
    <w:rsid w:val="00CD51BA"/>
    <w:rsid w:val="00CD6D6C"/>
    <w:rsid w:val="00CD6DC1"/>
    <w:rsid w:val="00CE02AE"/>
    <w:rsid w:val="00CE21D6"/>
    <w:rsid w:val="00CE2B59"/>
    <w:rsid w:val="00CE42AB"/>
    <w:rsid w:val="00CE783C"/>
    <w:rsid w:val="00CF169B"/>
    <w:rsid w:val="00CF34FE"/>
    <w:rsid w:val="00CF4E5B"/>
    <w:rsid w:val="00D00C41"/>
    <w:rsid w:val="00D01BC7"/>
    <w:rsid w:val="00D03D96"/>
    <w:rsid w:val="00D068ED"/>
    <w:rsid w:val="00D079C4"/>
    <w:rsid w:val="00D10DDA"/>
    <w:rsid w:val="00D13A30"/>
    <w:rsid w:val="00D157A9"/>
    <w:rsid w:val="00D22621"/>
    <w:rsid w:val="00D33F9E"/>
    <w:rsid w:val="00D371E0"/>
    <w:rsid w:val="00D407EF"/>
    <w:rsid w:val="00D4193D"/>
    <w:rsid w:val="00D531F5"/>
    <w:rsid w:val="00D53B93"/>
    <w:rsid w:val="00D545B6"/>
    <w:rsid w:val="00D55098"/>
    <w:rsid w:val="00D62EC9"/>
    <w:rsid w:val="00D64944"/>
    <w:rsid w:val="00D711F0"/>
    <w:rsid w:val="00D72E1D"/>
    <w:rsid w:val="00D737CB"/>
    <w:rsid w:val="00D73FB7"/>
    <w:rsid w:val="00D7734D"/>
    <w:rsid w:val="00D81976"/>
    <w:rsid w:val="00D821F0"/>
    <w:rsid w:val="00D937C7"/>
    <w:rsid w:val="00D93D97"/>
    <w:rsid w:val="00D9744B"/>
    <w:rsid w:val="00D9799E"/>
    <w:rsid w:val="00DA0C1B"/>
    <w:rsid w:val="00DA3374"/>
    <w:rsid w:val="00DA4068"/>
    <w:rsid w:val="00DA7276"/>
    <w:rsid w:val="00DB1321"/>
    <w:rsid w:val="00DB4C00"/>
    <w:rsid w:val="00DB4D47"/>
    <w:rsid w:val="00DC14D2"/>
    <w:rsid w:val="00DC33CD"/>
    <w:rsid w:val="00DC6BC3"/>
    <w:rsid w:val="00DD1240"/>
    <w:rsid w:val="00DD25EA"/>
    <w:rsid w:val="00DD3CBC"/>
    <w:rsid w:val="00DD43F3"/>
    <w:rsid w:val="00DD6625"/>
    <w:rsid w:val="00DE5205"/>
    <w:rsid w:val="00DE5A29"/>
    <w:rsid w:val="00DE6FBD"/>
    <w:rsid w:val="00DF15B0"/>
    <w:rsid w:val="00DF25A2"/>
    <w:rsid w:val="00DF7598"/>
    <w:rsid w:val="00E00236"/>
    <w:rsid w:val="00E006FE"/>
    <w:rsid w:val="00E01D59"/>
    <w:rsid w:val="00E01EAF"/>
    <w:rsid w:val="00E0257B"/>
    <w:rsid w:val="00E02726"/>
    <w:rsid w:val="00E178B6"/>
    <w:rsid w:val="00E2144C"/>
    <w:rsid w:val="00E24725"/>
    <w:rsid w:val="00E25319"/>
    <w:rsid w:val="00E414EA"/>
    <w:rsid w:val="00E4296B"/>
    <w:rsid w:val="00E452C1"/>
    <w:rsid w:val="00E46B3E"/>
    <w:rsid w:val="00E46B4A"/>
    <w:rsid w:val="00E62753"/>
    <w:rsid w:val="00E6414A"/>
    <w:rsid w:val="00E646FE"/>
    <w:rsid w:val="00E65BA8"/>
    <w:rsid w:val="00E73555"/>
    <w:rsid w:val="00E77D07"/>
    <w:rsid w:val="00E815EB"/>
    <w:rsid w:val="00E83F4A"/>
    <w:rsid w:val="00E83F84"/>
    <w:rsid w:val="00E8550E"/>
    <w:rsid w:val="00E90719"/>
    <w:rsid w:val="00E907FB"/>
    <w:rsid w:val="00E95813"/>
    <w:rsid w:val="00E95C14"/>
    <w:rsid w:val="00E96964"/>
    <w:rsid w:val="00EA1D35"/>
    <w:rsid w:val="00EA3AC6"/>
    <w:rsid w:val="00EA56DD"/>
    <w:rsid w:val="00EA693B"/>
    <w:rsid w:val="00EB0F5A"/>
    <w:rsid w:val="00EB1397"/>
    <w:rsid w:val="00EB143E"/>
    <w:rsid w:val="00EB374F"/>
    <w:rsid w:val="00EB49ED"/>
    <w:rsid w:val="00EB640D"/>
    <w:rsid w:val="00EC0854"/>
    <w:rsid w:val="00EC0E49"/>
    <w:rsid w:val="00ED071B"/>
    <w:rsid w:val="00ED7E01"/>
    <w:rsid w:val="00EE039E"/>
    <w:rsid w:val="00EE2057"/>
    <w:rsid w:val="00EE3E55"/>
    <w:rsid w:val="00EF32E8"/>
    <w:rsid w:val="00EF3D49"/>
    <w:rsid w:val="00EF43BD"/>
    <w:rsid w:val="00EF5141"/>
    <w:rsid w:val="00EF6201"/>
    <w:rsid w:val="00EF65B6"/>
    <w:rsid w:val="00EF678F"/>
    <w:rsid w:val="00EF79D4"/>
    <w:rsid w:val="00F012C5"/>
    <w:rsid w:val="00F0409C"/>
    <w:rsid w:val="00F0650F"/>
    <w:rsid w:val="00F16566"/>
    <w:rsid w:val="00F16EAF"/>
    <w:rsid w:val="00F17978"/>
    <w:rsid w:val="00F25CD1"/>
    <w:rsid w:val="00F26E71"/>
    <w:rsid w:val="00F33B5E"/>
    <w:rsid w:val="00F344B2"/>
    <w:rsid w:val="00F363C1"/>
    <w:rsid w:val="00F37296"/>
    <w:rsid w:val="00F4133D"/>
    <w:rsid w:val="00F46F33"/>
    <w:rsid w:val="00F54E52"/>
    <w:rsid w:val="00F57673"/>
    <w:rsid w:val="00F6050B"/>
    <w:rsid w:val="00F63A57"/>
    <w:rsid w:val="00F640F3"/>
    <w:rsid w:val="00F70BD0"/>
    <w:rsid w:val="00F75C3F"/>
    <w:rsid w:val="00F76035"/>
    <w:rsid w:val="00F7645D"/>
    <w:rsid w:val="00F77FB3"/>
    <w:rsid w:val="00F82ABA"/>
    <w:rsid w:val="00F83ED7"/>
    <w:rsid w:val="00F8443F"/>
    <w:rsid w:val="00F8544D"/>
    <w:rsid w:val="00F862FD"/>
    <w:rsid w:val="00F86BCD"/>
    <w:rsid w:val="00F94840"/>
    <w:rsid w:val="00F95BE8"/>
    <w:rsid w:val="00FA1D1D"/>
    <w:rsid w:val="00FA4995"/>
    <w:rsid w:val="00FB0AC1"/>
    <w:rsid w:val="00FB0DF9"/>
    <w:rsid w:val="00FB11BB"/>
    <w:rsid w:val="00FB2776"/>
    <w:rsid w:val="00FB303B"/>
    <w:rsid w:val="00FB33DA"/>
    <w:rsid w:val="00FB55D5"/>
    <w:rsid w:val="00FB6C46"/>
    <w:rsid w:val="00FB6FA2"/>
    <w:rsid w:val="00FC4699"/>
    <w:rsid w:val="00FC469D"/>
    <w:rsid w:val="00FC566B"/>
    <w:rsid w:val="00FD129E"/>
    <w:rsid w:val="00FD340B"/>
    <w:rsid w:val="00FD555A"/>
    <w:rsid w:val="00FD5D83"/>
    <w:rsid w:val="00FE038E"/>
    <w:rsid w:val="00FE0609"/>
    <w:rsid w:val="00FE2186"/>
    <w:rsid w:val="00FE3661"/>
    <w:rsid w:val="00FF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2B6A5"/>
  <w15:chartTrackingRefBased/>
  <w15:docId w15:val="{EC905E1C-A894-448C-998F-269AB389E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A6284C"/>
    <w:pPr>
      <w:spacing w:after="0" w:line="240" w:lineRule="auto"/>
    </w:pPr>
    <w:rPr>
      <w:rFonts w:ascii="Arial" w:hAnsi="Arial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aliases w:val="UJEP-TEXT"/>
    <w:uiPriority w:val="1"/>
    <w:qFormat/>
    <w:rsid w:val="00A6284C"/>
    <w:pPr>
      <w:widowControl w:val="0"/>
      <w:spacing w:after="0" w:line="240" w:lineRule="auto"/>
      <w:jc w:val="both"/>
    </w:pPr>
    <w:rPr>
      <w:rFonts w:ascii="Arial Narrow" w:hAnsi="Arial Narrow"/>
      <w:szCs w:val="20"/>
    </w:rPr>
  </w:style>
  <w:style w:type="table" w:styleId="Mkatabulky">
    <w:name w:val="Table Grid"/>
    <w:basedOn w:val="Normlntabulka"/>
    <w:uiPriority w:val="39"/>
    <w:rsid w:val="00150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48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4846"/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A248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4846"/>
    <w:rPr>
      <w:rFonts w:ascii="Arial" w:hAnsi="Arial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045C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045C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045C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D10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D1011"/>
  </w:style>
  <w:style w:type="character" w:customStyle="1" w:styleId="TextkomenteChar">
    <w:name w:val="Text komentáře Char"/>
    <w:basedOn w:val="Standardnpsmoodstavce"/>
    <w:link w:val="Textkomente"/>
    <w:uiPriority w:val="99"/>
    <w:rsid w:val="00CD1011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10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1011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101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1011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AF4443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5D3FB3"/>
    <w:pPr>
      <w:spacing w:after="0" w:line="240" w:lineRule="auto"/>
    </w:pPr>
    <w:rPr>
      <w:rFonts w:ascii="Arial" w:hAnsi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87ACC"/>
    <w:pPr>
      <w:spacing w:after="120" w:line="360" w:lineRule="auto"/>
      <w:ind w:left="720"/>
      <w:contextualSpacing/>
      <w:jc w:val="both"/>
    </w:pPr>
    <w:rPr>
      <w:rFonts w:ascii="Trebuchet MS" w:eastAsia="Times New Roman" w:hAnsi="Trebuchet MS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5B155E"/>
    <w:rPr>
      <w:rFonts w:ascii="Calibri" w:hAnsi="Calibri"/>
      <w:sz w:val="22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5B155E"/>
    <w:rPr>
      <w:rFonts w:ascii="Calibri" w:hAnsi="Calibri"/>
      <w:szCs w:val="21"/>
    </w:rPr>
  </w:style>
  <w:style w:type="paragraph" w:styleId="Normlnweb">
    <w:name w:val="Normal (Web)"/>
    <w:basedOn w:val="Normln"/>
    <w:uiPriority w:val="99"/>
    <w:semiHidden/>
    <w:unhideWhenUsed/>
    <w:rsid w:val="00BE078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7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1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8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7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6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6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0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91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2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hs.utb.cz/o-fakulte/zakladni-informace/ustavy/ustav-pedagogickych-ved/o-ustav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38996-0A87-4C97-AF97-E21692A03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2366</TotalTime>
  <Pages>18</Pages>
  <Words>5213</Words>
  <Characters>30763</Characters>
  <Application>Microsoft Office Word</Application>
  <DocSecurity>0</DocSecurity>
  <Lines>256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CPP UJEP</Company>
  <LinksUpToDate>false</LinksUpToDate>
  <CharactersWithSpaces>35905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zukersteinj</dc:creator>
  <cp:keywords/>
  <dc:description/>
  <cp:lastModifiedBy>Libor Marek</cp:lastModifiedBy>
  <cp:revision>67</cp:revision>
  <cp:lastPrinted>2019-02-12T13:50:00Z</cp:lastPrinted>
  <dcterms:created xsi:type="dcterms:W3CDTF">2024-05-29T07:00:00Z</dcterms:created>
  <dcterms:modified xsi:type="dcterms:W3CDTF">2024-07-02T22:10:00Z</dcterms:modified>
</cp:coreProperties>
</file>